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FA125B7">
      <w:pPr>
        <w:rPr>
          <w:rFonts w:ascii="宋体" w:hAnsi="宋体" w:cs="宋体"/>
        </w:rPr>
      </w:pPr>
    </w:p>
    <w:p w14:paraId="7FB1D35F">
      <w:pPr>
        <w:pStyle w:val="7"/>
        <w:jc w:val="center"/>
        <w:rPr>
          <w:rFonts w:ascii="宋体" w:hAnsi="宋体" w:cs="宋体"/>
        </w:rPr>
      </w:pPr>
    </w:p>
    <w:p w14:paraId="0D8F47E2">
      <w:pPr>
        <w:pStyle w:val="8"/>
        <w:rPr>
          <w:rFonts w:ascii="宋体" w:hAnsi="宋体" w:cs="宋体"/>
        </w:rPr>
      </w:pPr>
    </w:p>
    <w:p w14:paraId="69B7C363">
      <w:pPr>
        <w:rPr>
          <w:rFonts w:ascii="宋体" w:hAnsi="宋体" w:cs="宋体"/>
        </w:rPr>
      </w:pPr>
    </w:p>
    <w:p w14:paraId="2E8E6A33">
      <w:pPr>
        <w:pStyle w:val="5"/>
        <w:rPr>
          <w:rFonts w:ascii="宋体" w:hAnsi="宋体" w:cs="宋体"/>
        </w:rPr>
      </w:pPr>
    </w:p>
    <w:p w14:paraId="359D5CC6">
      <w:pPr>
        <w:rPr>
          <w:rFonts w:ascii="宋体" w:hAnsi="宋体" w:cs="宋体"/>
        </w:rPr>
      </w:pPr>
    </w:p>
    <w:p w14:paraId="6F50DD77">
      <w:pPr>
        <w:pStyle w:val="5"/>
        <w:rPr>
          <w:rFonts w:ascii="宋体" w:hAnsi="宋体" w:cs="宋体"/>
        </w:rPr>
      </w:pPr>
    </w:p>
    <w:p w14:paraId="54D0CA71">
      <w:pPr>
        <w:rPr>
          <w:rFonts w:ascii="宋体" w:hAnsi="宋体" w:cs="宋体"/>
        </w:rPr>
      </w:pPr>
    </w:p>
    <w:p w14:paraId="07FA6E73">
      <w:pPr>
        <w:pStyle w:val="5"/>
        <w:rPr>
          <w:rFonts w:ascii="宋体" w:hAnsi="宋体" w:cs="宋体"/>
        </w:rPr>
      </w:pPr>
    </w:p>
    <w:p w14:paraId="33595DF3">
      <w:pPr>
        <w:rPr>
          <w:rFonts w:ascii="宋体" w:hAnsi="宋体" w:cs="宋体"/>
        </w:rPr>
      </w:pPr>
    </w:p>
    <w:p w14:paraId="553AF807">
      <w:pPr>
        <w:pStyle w:val="5"/>
        <w:rPr>
          <w:rFonts w:ascii="宋体" w:hAnsi="宋体" w:cs="宋体"/>
        </w:rPr>
      </w:pPr>
    </w:p>
    <w:p w14:paraId="3C293F98"/>
    <w:p w14:paraId="3BFF6F50">
      <w:pPr>
        <w:pStyle w:val="7"/>
        <w:jc w:val="center"/>
        <w:rPr>
          <w:rFonts w:ascii="宋体" w:hAnsi="宋体" w:cs="宋体"/>
        </w:rPr>
      </w:pPr>
    </w:p>
    <w:p w14:paraId="71690F07">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hAnsi="宋体" w:cs="宋体"/>
          <w:b/>
          <w:kern w:val="0"/>
          <w:sz w:val="72"/>
          <w:szCs w:val="72"/>
        </w:rPr>
      </w:pPr>
      <w:r>
        <w:rPr>
          <w:rFonts w:hint="eastAsia" w:ascii="宋体" w:hAnsi="宋体" w:cs="宋体"/>
          <w:b/>
          <w:kern w:val="0"/>
          <w:sz w:val="72"/>
          <w:szCs w:val="72"/>
        </w:rPr>
        <w:t xml:space="preserve">   竞争性磋商文件</w:t>
      </w:r>
    </w:p>
    <w:p w14:paraId="6C14161E">
      <w:pPr>
        <w:pStyle w:val="7"/>
        <w:jc w:val="center"/>
        <w:rPr>
          <w:rFonts w:ascii="宋体" w:hAnsi="宋体" w:cs="宋体"/>
        </w:rPr>
      </w:pPr>
    </w:p>
    <w:p w14:paraId="4862B0C2">
      <w:pPr>
        <w:pStyle w:val="7"/>
        <w:rPr>
          <w:rFonts w:ascii="宋体" w:hAnsi="宋体" w:cs="宋体"/>
        </w:rPr>
      </w:pPr>
    </w:p>
    <w:p w14:paraId="7DFDBA0E">
      <w:pPr>
        <w:pStyle w:val="8"/>
        <w:rPr>
          <w:rFonts w:ascii="宋体" w:hAnsi="宋体" w:cs="宋体"/>
        </w:rPr>
      </w:pPr>
    </w:p>
    <w:p w14:paraId="20518FF0">
      <w:pPr>
        <w:rPr>
          <w:rFonts w:ascii="宋体" w:hAnsi="宋体" w:cs="宋体"/>
        </w:rPr>
      </w:pPr>
    </w:p>
    <w:p w14:paraId="21317207">
      <w:pPr>
        <w:rPr>
          <w:rFonts w:ascii="宋体" w:hAnsi="宋体" w:cs="宋体"/>
        </w:rPr>
      </w:pPr>
    </w:p>
    <w:p w14:paraId="5EF6BED9">
      <w:pPr>
        <w:pStyle w:val="5"/>
      </w:pPr>
    </w:p>
    <w:p w14:paraId="6F4FB2B5">
      <w:pPr>
        <w:rPr>
          <w:rFonts w:ascii="宋体" w:hAnsi="宋体" w:cs="宋体"/>
        </w:rPr>
      </w:pPr>
    </w:p>
    <w:p w14:paraId="06776556">
      <w:pPr>
        <w:pStyle w:val="5"/>
      </w:pPr>
    </w:p>
    <w:p w14:paraId="5971B05D">
      <w:pPr>
        <w:pStyle w:val="7"/>
        <w:jc w:val="center"/>
        <w:rPr>
          <w:rFonts w:ascii="宋体" w:hAnsi="宋体" w:cs="宋体"/>
        </w:rPr>
      </w:pPr>
    </w:p>
    <w:p w14:paraId="698B010F">
      <w:pPr>
        <w:spacing w:line="360" w:lineRule="auto"/>
        <w:ind w:left="1405" w:hanging="1405" w:hangingChars="500"/>
        <w:jc w:val="center"/>
        <w:rPr>
          <w:rFonts w:ascii="宋体" w:hAnsi="宋体" w:cs="宋体"/>
        </w:rPr>
      </w:pPr>
      <w:bookmarkStart w:id="0" w:name="_Hlk175777327"/>
      <w:r>
        <w:rPr>
          <w:rFonts w:hint="eastAsia" w:ascii="宋体" w:hAnsi="宋体" w:cs="宋体"/>
          <w:b/>
          <w:bCs/>
          <w:kern w:val="0"/>
          <w:sz w:val="28"/>
          <w:szCs w:val="28"/>
        </w:rPr>
        <w:t>采购项目：</w:t>
      </w:r>
      <w:r>
        <w:rPr>
          <w:rFonts w:hint="eastAsia" w:ascii="宋体" w:hAnsi="宋体" w:cs="宋体"/>
          <w:kern w:val="0"/>
          <w:sz w:val="28"/>
          <w:szCs w:val="28"/>
          <w:u w:val="single"/>
          <w:lang w:val="en-US" w:eastAsia="zh-CN"/>
        </w:rPr>
        <w:t>杭州国宇物产管理</w:t>
      </w:r>
      <w:r>
        <w:rPr>
          <w:rFonts w:hint="eastAsia" w:ascii="宋体" w:hAnsi="宋体" w:cs="宋体"/>
          <w:kern w:val="0"/>
          <w:sz w:val="28"/>
          <w:szCs w:val="28"/>
          <w:u w:val="single"/>
        </w:rPr>
        <w:t>有限公司企业年金基金受托管理服务项目</w:t>
      </w:r>
    </w:p>
    <w:bookmarkEnd w:id="0"/>
    <w:p w14:paraId="0D075001">
      <w:pPr>
        <w:spacing w:line="360" w:lineRule="auto"/>
        <w:jc w:val="center"/>
        <w:rPr>
          <w:rFonts w:hint="eastAsia" w:ascii="宋体" w:hAnsi="宋体" w:eastAsia="宋体" w:cs="宋体"/>
          <w:kern w:val="0"/>
          <w:sz w:val="28"/>
          <w:szCs w:val="28"/>
          <w:u w:val="single"/>
          <w:lang w:eastAsia="zh-CN"/>
        </w:rPr>
      </w:pPr>
      <w:bookmarkStart w:id="1" w:name="_Hlk175777268"/>
      <w:r>
        <w:rPr>
          <w:rFonts w:hint="eastAsia" w:ascii="宋体" w:hAnsi="宋体" w:cs="宋体"/>
          <w:b/>
          <w:bCs/>
          <w:kern w:val="0"/>
          <w:sz w:val="28"/>
          <w:szCs w:val="28"/>
        </w:rPr>
        <w:t>采 购 人：</w:t>
      </w:r>
      <w:r>
        <w:rPr>
          <w:rFonts w:hint="eastAsia" w:ascii="宋体" w:hAnsi="宋体" w:cs="宋体"/>
          <w:kern w:val="0"/>
          <w:sz w:val="28"/>
          <w:szCs w:val="28"/>
          <w:u w:val="single"/>
          <w:lang w:val="en-US" w:eastAsia="zh-CN"/>
        </w:rPr>
        <w:t>杭州国宇物产管理有限公司</w:t>
      </w:r>
    </w:p>
    <w:bookmarkEnd w:id="1"/>
    <w:p w14:paraId="2AA02EDE">
      <w:pPr>
        <w:pStyle w:val="7"/>
        <w:rPr>
          <w:rFonts w:ascii="宋体" w:hAnsi="宋体" w:cs="宋体"/>
        </w:rPr>
      </w:pPr>
    </w:p>
    <w:p w14:paraId="5EAE0A9A">
      <w:pPr>
        <w:pStyle w:val="7"/>
        <w:jc w:val="center"/>
        <w:rPr>
          <w:rFonts w:ascii="宋体" w:hAnsi="宋体" w:cs="宋体"/>
          <w:kern w:val="0"/>
          <w:szCs w:val="21"/>
        </w:rPr>
      </w:pPr>
      <w:r>
        <w:rPr>
          <w:rFonts w:hint="eastAsia" w:ascii="宋体" w:hAnsi="宋体" w:cs="宋体"/>
          <w:kern w:val="0"/>
          <w:sz w:val="28"/>
          <w:szCs w:val="28"/>
        </w:rPr>
        <w:t>二○二</w:t>
      </w:r>
      <w:r>
        <w:rPr>
          <w:rFonts w:hint="eastAsia" w:ascii="宋体" w:hAnsi="宋体" w:cs="宋体"/>
          <w:kern w:val="0"/>
          <w:sz w:val="28"/>
          <w:szCs w:val="28"/>
          <w:lang w:val="en-US" w:eastAsia="zh-CN"/>
        </w:rPr>
        <w:t>五</w:t>
      </w:r>
      <w:r>
        <w:rPr>
          <w:rFonts w:hint="eastAsia" w:ascii="宋体" w:hAnsi="宋体" w:cs="宋体"/>
          <w:kern w:val="0"/>
          <w:sz w:val="28"/>
          <w:szCs w:val="28"/>
        </w:rPr>
        <w:t>年</w:t>
      </w:r>
      <w:r>
        <w:rPr>
          <w:rFonts w:hint="eastAsia" w:ascii="宋体" w:hAnsi="宋体" w:cs="宋体"/>
          <w:kern w:val="0"/>
          <w:sz w:val="28"/>
          <w:szCs w:val="28"/>
          <w:lang w:val="en-US" w:eastAsia="zh-CN"/>
        </w:rPr>
        <w:t>五</w:t>
      </w:r>
      <w:r>
        <w:rPr>
          <w:rFonts w:hint="eastAsia" w:ascii="宋体" w:hAnsi="宋体" w:cs="宋体"/>
          <w:kern w:val="0"/>
          <w:sz w:val="28"/>
          <w:szCs w:val="28"/>
        </w:rPr>
        <w:t>月</w:t>
      </w:r>
    </w:p>
    <w:p w14:paraId="27F32B70">
      <w:pPr>
        <w:spacing w:line="360" w:lineRule="auto"/>
        <w:jc w:val="both"/>
        <w:rPr>
          <w:rFonts w:ascii="宋体" w:hAnsi="宋体" w:cs="宋体"/>
          <w:b/>
          <w:bCs/>
          <w:sz w:val="36"/>
          <w:szCs w:val="36"/>
        </w:rPr>
        <w:sectPr>
          <w:headerReference r:id="rId3" w:type="default"/>
          <w:footerReference r:id="rId4" w:type="default"/>
          <w:pgSz w:w="11906" w:h="16838"/>
          <w:pgMar w:top="1440" w:right="1440" w:bottom="1440" w:left="1803" w:header="851" w:footer="992" w:gutter="0"/>
          <w:cols w:space="0" w:num="1"/>
          <w:docGrid w:type="lines" w:linePitch="325" w:charSpace="0"/>
        </w:sectPr>
      </w:pPr>
    </w:p>
    <w:p w14:paraId="0E5BD981">
      <w:pPr>
        <w:spacing w:line="360" w:lineRule="auto"/>
        <w:jc w:val="center"/>
        <w:rPr>
          <w:rFonts w:ascii="宋体" w:hAnsi="宋体" w:cs="宋体"/>
          <w:b/>
          <w:bCs/>
          <w:sz w:val="36"/>
          <w:szCs w:val="36"/>
        </w:rPr>
      </w:pPr>
      <w:r>
        <w:rPr>
          <w:rFonts w:hint="eastAsia" w:ascii="宋体" w:hAnsi="宋体" w:cs="宋体"/>
          <w:b/>
          <w:bCs/>
          <w:sz w:val="36"/>
          <w:szCs w:val="36"/>
        </w:rPr>
        <w:t>目  录</w:t>
      </w:r>
    </w:p>
    <w:p w14:paraId="1D7BCAC3">
      <w:pPr>
        <w:spacing w:line="360" w:lineRule="auto"/>
        <w:rPr>
          <w:rFonts w:ascii="宋体" w:hAnsi="宋体" w:cs="宋体"/>
          <w:sz w:val="28"/>
          <w:szCs w:val="28"/>
        </w:rPr>
      </w:pPr>
    </w:p>
    <w:p w14:paraId="1D6F42FA">
      <w:pPr>
        <w:numPr>
          <w:ilvl w:val="0"/>
          <w:numId w:val="1"/>
        </w:numPr>
        <w:spacing w:line="360" w:lineRule="auto"/>
        <w:ind w:left="964" w:hanging="601"/>
        <w:rPr>
          <w:rFonts w:ascii="宋体" w:hAnsi="宋体" w:cs="宋体"/>
          <w:b/>
          <w:sz w:val="28"/>
          <w:szCs w:val="28"/>
        </w:rPr>
      </w:pPr>
      <w:r>
        <w:rPr>
          <w:rFonts w:hint="eastAsia" w:ascii="宋体" w:hAnsi="宋体" w:cs="宋体"/>
          <w:b/>
          <w:sz w:val="28"/>
          <w:szCs w:val="28"/>
        </w:rPr>
        <w:t>竞争性磋商公告</w:t>
      </w:r>
    </w:p>
    <w:p w14:paraId="26DA1112">
      <w:pPr>
        <w:numPr>
          <w:ilvl w:val="0"/>
          <w:numId w:val="1"/>
        </w:numPr>
        <w:spacing w:line="360" w:lineRule="auto"/>
        <w:ind w:left="964" w:hanging="601"/>
        <w:rPr>
          <w:rFonts w:ascii="宋体" w:hAnsi="宋体" w:cs="宋体"/>
          <w:b/>
          <w:sz w:val="28"/>
          <w:szCs w:val="28"/>
        </w:rPr>
      </w:pPr>
      <w:r>
        <w:rPr>
          <w:rFonts w:hint="eastAsia" w:ascii="宋体" w:hAnsi="宋体" w:cs="宋体"/>
          <w:b/>
          <w:sz w:val="28"/>
          <w:szCs w:val="28"/>
        </w:rPr>
        <w:t>供应商须知</w:t>
      </w:r>
    </w:p>
    <w:p w14:paraId="43CF49CF">
      <w:pPr>
        <w:numPr>
          <w:ilvl w:val="0"/>
          <w:numId w:val="1"/>
        </w:numPr>
        <w:spacing w:line="360" w:lineRule="auto"/>
        <w:ind w:left="964" w:hanging="601"/>
        <w:rPr>
          <w:rFonts w:ascii="宋体" w:hAnsi="宋体" w:cs="宋体"/>
          <w:b/>
          <w:sz w:val="28"/>
          <w:szCs w:val="28"/>
        </w:rPr>
      </w:pPr>
      <w:r>
        <w:rPr>
          <w:rFonts w:hint="eastAsia" w:ascii="宋体" w:hAnsi="宋体" w:cs="宋体"/>
          <w:b/>
          <w:sz w:val="28"/>
          <w:szCs w:val="28"/>
        </w:rPr>
        <w:t>评审办法及评审标准</w:t>
      </w:r>
    </w:p>
    <w:p w14:paraId="16784628">
      <w:pPr>
        <w:numPr>
          <w:ilvl w:val="0"/>
          <w:numId w:val="1"/>
        </w:numPr>
        <w:spacing w:line="360" w:lineRule="auto"/>
        <w:ind w:left="964" w:hanging="601"/>
        <w:rPr>
          <w:rFonts w:ascii="宋体" w:hAnsi="宋体" w:cs="宋体"/>
          <w:b/>
          <w:sz w:val="28"/>
          <w:szCs w:val="28"/>
        </w:rPr>
      </w:pPr>
      <w:r>
        <w:rPr>
          <w:rFonts w:hint="eastAsia" w:ascii="宋体" w:hAnsi="宋体" w:cs="宋体"/>
          <w:b/>
          <w:sz w:val="28"/>
          <w:szCs w:val="28"/>
        </w:rPr>
        <w:t>项目需求</w:t>
      </w:r>
    </w:p>
    <w:p w14:paraId="3ED2C501">
      <w:pPr>
        <w:numPr>
          <w:ilvl w:val="0"/>
          <w:numId w:val="1"/>
        </w:numPr>
        <w:spacing w:line="360" w:lineRule="auto"/>
        <w:ind w:left="964" w:hanging="601"/>
        <w:rPr>
          <w:rFonts w:ascii="宋体" w:hAnsi="宋体" w:cs="宋体"/>
          <w:b/>
          <w:sz w:val="28"/>
          <w:szCs w:val="28"/>
        </w:rPr>
      </w:pPr>
      <w:r>
        <w:rPr>
          <w:rFonts w:hint="eastAsia" w:ascii="宋体" w:hAnsi="宋体" w:cs="宋体"/>
          <w:b/>
          <w:sz w:val="28"/>
          <w:szCs w:val="28"/>
        </w:rPr>
        <w:t>合同主要条款</w:t>
      </w:r>
    </w:p>
    <w:p w14:paraId="1502E2CA">
      <w:pPr>
        <w:numPr>
          <w:ilvl w:val="0"/>
          <w:numId w:val="1"/>
        </w:numPr>
        <w:spacing w:line="360" w:lineRule="auto"/>
        <w:ind w:left="964" w:hanging="601"/>
        <w:rPr>
          <w:rFonts w:ascii="宋体" w:hAnsi="宋体" w:cs="宋体"/>
          <w:b/>
          <w:sz w:val="28"/>
          <w:szCs w:val="28"/>
        </w:rPr>
      </w:pPr>
      <w:r>
        <w:rPr>
          <w:rFonts w:hint="eastAsia" w:ascii="宋体" w:hAnsi="宋体" w:cs="宋体"/>
          <w:b/>
          <w:sz w:val="28"/>
          <w:szCs w:val="28"/>
        </w:rPr>
        <w:t>响应文件格式附件</w:t>
      </w:r>
    </w:p>
    <w:p w14:paraId="1E3BCA9F">
      <w:pPr>
        <w:pStyle w:val="7"/>
        <w:jc w:val="center"/>
        <w:rPr>
          <w:rFonts w:ascii="宋体" w:hAnsi="宋体" w:cs="宋体"/>
        </w:rPr>
      </w:pPr>
    </w:p>
    <w:p w14:paraId="613845E0">
      <w:pPr>
        <w:pStyle w:val="7"/>
        <w:jc w:val="center"/>
        <w:rPr>
          <w:rFonts w:ascii="宋体" w:hAnsi="宋体" w:cs="宋体"/>
        </w:rPr>
      </w:pPr>
    </w:p>
    <w:p w14:paraId="70392027">
      <w:pPr>
        <w:pStyle w:val="7"/>
        <w:jc w:val="center"/>
        <w:rPr>
          <w:rFonts w:ascii="宋体" w:hAnsi="宋体" w:cs="宋体"/>
        </w:rPr>
      </w:pPr>
    </w:p>
    <w:p w14:paraId="77E37007">
      <w:pPr>
        <w:pStyle w:val="7"/>
        <w:jc w:val="center"/>
        <w:rPr>
          <w:rFonts w:ascii="宋体" w:hAnsi="宋体" w:cs="宋体"/>
        </w:rPr>
      </w:pPr>
    </w:p>
    <w:p w14:paraId="7F193CE5">
      <w:pPr>
        <w:pStyle w:val="7"/>
        <w:jc w:val="center"/>
        <w:rPr>
          <w:rFonts w:ascii="宋体" w:hAnsi="宋体" w:cs="宋体"/>
        </w:rPr>
      </w:pPr>
    </w:p>
    <w:p w14:paraId="1A8263B2">
      <w:pPr>
        <w:pStyle w:val="7"/>
        <w:jc w:val="center"/>
        <w:rPr>
          <w:rFonts w:ascii="宋体" w:hAnsi="宋体" w:cs="宋体"/>
        </w:rPr>
      </w:pPr>
    </w:p>
    <w:p w14:paraId="53373734">
      <w:pPr>
        <w:pStyle w:val="7"/>
        <w:jc w:val="center"/>
        <w:rPr>
          <w:rFonts w:ascii="宋体" w:hAnsi="宋体" w:cs="宋体"/>
        </w:rPr>
      </w:pPr>
    </w:p>
    <w:p w14:paraId="598CD4B0">
      <w:pPr>
        <w:pStyle w:val="7"/>
        <w:jc w:val="center"/>
        <w:rPr>
          <w:rFonts w:ascii="宋体" w:hAnsi="宋体" w:cs="宋体"/>
        </w:rPr>
      </w:pPr>
    </w:p>
    <w:p w14:paraId="53FABD7A">
      <w:pPr>
        <w:pStyle w:val="7"/>
        <w:jc w:val="center"/>
        <w:rPr>
          <w:rFonts w:ascii="宋体" w:hAnsi="宋体" w:cs="宋体"/>
        </w:rPr>
      </w:pPr>
    </w:p>
    <w:p w14:paraId="4CAA04B2">
      <w:pPr>
        <w:pStyle w:val="7"/>
        <w:jc w:val="center"/>
        <w:rPr>
          <w:rFonts w:ascii="宋体" w:hAnsi="宋体" w:cs="宋体"/>
        </w:rPr>
      </w:pPr>
    </w:p>
    <w:p w14:paraId="706F18F1">
      <w:pPr>
        <w:pStyle w:val="7"/>
        <w:jc w:val="center"/>
        <w:rPr>
          <w:rFonts w:ascii="宋体" w:hAnsi="宋体" w:cs="宋体"/>
        </w:rPr>
      </w:pPr>
    </w:p>
    <w:p w14:paraId="61813A85">
      <w:pPr>
        <w:pStyle w:val="7"/>
        <w:jc w:val="center"/>
        <w:rPr>
          <w:rFonts w:ascii="宋体" w:hAnsi="宋体" w:cs="宋体"/>
        </w:rPr>
      </w:pPr>
    </w:p>
    <w:p w14:paraId="6693138A">
      <w:pPr>
        <w:pStyle w:val="7"/>
        <w:jc w:val="center"/>
        <w:rPr>
          <w:rFonts w:ascii="宋体" w:hAnsi="宋体" w:cs="宋体"/>
        </w:rPr>
      </w:pPr>
    </w:p>
    <w:p w14:paraId="7D45BEE6">
      <w:pPr>
        <w:pStyle w:val="8"/>
        <w:ind w:firstLine="210"/>
        <w:rPr>
          <w:rFonts w:ascii="宋体" w:hAnsi="宋体" w:cs="宋体"/>
        </w:rPr>
      </w:pPr>
    </w:p>
    <w:p w14:paraId="3EB9D185">
      <w:pPr>
        <w:pStyle w:val="8"/>
        <w:ind w:firstLine="210"/>
        <w:rPr>
          <w:rFonts w:ascii="宋体" w:hAnsi="宋体" w:cs="宋体"/>
        </w:rPr>
      </w:pPr>
    </w:p>
    <w:p w14:paraId="1F9757FB">
      <w:pPr>
        <w:pStyle w:val="8"/>
        <w:ind w:firstLine="210"/>
        <w:rPr>
          <w:rFonts w:ascii="宋体" w:hAnsi="宋体" w:cs="宋体"/>
        </w:rPr>
      </w:pPr>
    </w:p>
    <w:p w14:paraId="25376D4C">
      <w:pPr>
        <w:pStyle w:val="7"/>
        <w:jc w:val="center"/>
        <w:rPr>
          <w:rFonts w:ascii="宋体" w:hAnsi="宋体" w:cs="宋体"/>
        </w:rPr>
      </w:pPr>
    </w:p>
    <w:p w14:paraId="15307369">
      <w:pPr>
        <w:pStyle w:val="8"/>
        <w:ind w:firstLine="210"/>
        <w:rPr>
          <w:rFonts w:ascii="宋体" w:hAnsi="宋体" w:cs="宋体"/>
        </w:rPr>
      </w:pPr>
    </w:p>
    <w:p w14:paraId="5D0B7628">
      <w:pPr>
        <w:pStyle w:val="7"/>
        <w:jc w:val="center"/>
        <w:rPr>
          <w:rFonts w:ascii="宋体" w:hAnsi="宋体" w:cs="宋体"/>
        </w:rPr>
      </w:pPr>
    </w:p>
    <w:p w14:paraId="3C0703D5">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rPr>
      </w:pPr>
    </w:p>
    <w:p w14:paraId="5FA859E5">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rPr>
      </w:pPr>
    </w:p>
    <w:p w14:paraId="76345EF5">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rPr>
      </w:pPr>
    </w:p>
    <w:p w14:paraId="64057A11">
      <w:p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kern w:val="0"/>
          <w:sz w:val="36"/>
          <w:szCs w:val="36"/>
        </w:rPr>
      </w:pPr>
      <w:r>
        <w:rPr>
          <w:rFonts w:hint="eastAsia" w:ascii="宋体" w:hAnsi="宋体" w:cs="宋体"/>
          <w:b/>
          <w:kern w:val="0"/>
          <w:sz w:val="36"/>
          <w:szCs w:val="36"/>
        </w:rPr>
        <w:t>第一章 竞争性磋商公告</w:t>
      </w:r>
    </w:p>
    <w:p w14:paraId="7A956436">
      <w:pPr>
        <w:spacing w:line="360" w:lineRule="auto"/>
        <w:ind w:firstLine="420" w:firstLineChars="200"/>
        <w:rPr>
          <w:rFonts w:ascii="宋体" w:hAnsi="宋体" w:cs="宋体"/>
          <w:szCs w:val="21"/>
        </w:rPr>
      </w:pPr>
      <w:r>
        <w:rPr>
          <w:rFonts w:hint="eastAsia" w:ascii="宋体" w:hAnsi="宋体" w:cs="宋体"/>
          <w:szCs w:val="21"/>
        </w:rPr>
        <w:t xml:space="preserve">参照《中华人民共和国政府采购法》、《中华人民共和国政府采购法实施条例》和《政府采购竞争性磋商采购方式管理暂行办法》等有关规定, </w:t>
      </w:r>
      <w:r>
        <w:rPr>
          <w:rFonts w:hint="eastAsia" w:ascii="宋体" w:hAnsi="宋体" w:cs="宋体"/>
          <w:b/>
          <w:bCs/>
          <w:szCs w:val="21"/>
          <w:lang w:eastAsia="zh-CN"/>
        </w:rPr>
        <w:t>杭州国宇物产管理有限公司</w:t>
      </w:r>
      <w:r>
        <w:rPr>
          <w:rFonts w:hint="eastAsia" w:ascii="宋体" w:hAnsi="宋体" w:cs="宋体"/>
          <w:szCs w:val="21"/>
        </w:rPr>
        <w:t>就</w:t>
      </w:r>
      <w:r>
        <w:rPr>
          <w:rFonts w:hint="eastAsia" w:ascii="宋体" w:hAnsi="宋体" w:cs="宋体"/>
          <w:b/>
          <w:bCs/>
          <w:szCs w:val="21"/>
        </w:rPr>
        <w:t>企业年金基金受托管理服务项目</w:t>
      </w:r>
      <w:r>
        <w:rPr>
          <w:rFonts w:hint="eastAsia" w:ascii="宋体" w:hAnsi="宋体" w:cs="宋体"/>
          <w:szCs w:val="21"/>
        </w:rPr>
        <w:t>进行竞争性磋商采购，欢迎合格供应商前来磋商。</w:t>
      </w:r>
    </w:p>
    <w:p w14:paraId="5D910884">
      <w:pPr>
        <w:spacing w:line="360" w:lineRule="auto"/>
        <w:ind w:firstLine="422" w:firstLineChars="200"/>
        <w:rPr>
          <w:rFonts w:ascii="宋体" w:hAnsi="宋体" w:cs="宋体"/>
          <w:b/>
          <w:bCs/>
          <w:szCs w:val="21"/>
        </w:rPr>
      </w:pPr>
      <w:r>
        <w:rPr>
          <w:rFonts w:hint="eastAsia" w:ascii="宋体" w:hAnsi="宋体" w:cs="宋体"/>
          <w:b/>
          <w:bCs/>
          <w:szCs w:val="21"/>
          <w:lang w:val="en-US" w:eastAsia="zh-CN"/>
        </w:rPr>
        <w:t>一</w:t>
      </w:r>
      <w:r>
        <w:rPr>
          <w:rFonts w:hint="eastAsia" w:ascii="宋体" w:hAnsi="宋体" w:cs="宋体"/>
          <w:b/>
          <w:bCs/>
          <w:szCs w:val="21"/>
        </w:rPr>
        <w:t>、磋商内容：</w:t>
      </w:r>
    </w:p>
    <w:tbl>
      <w:tblPr>
        <w:tblStyle w:val="23"/>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33"/>
        <w:gridCol w:w="1567"/>
        <w:gridCol w:w="816"/>
        <w:gridCol w:w="817"/>
        <w:gridCol w:w="2312"/>
        <w:gridCol w:w="714"/>
      </w:tblGrid>
      <w:tr w14:paraId="42CA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17" w:type="dxa"/>
            <w:vAlign w:val="center"/>
          </w:tcPr>
          <w:p w14:paraId="647772B4">
            <w:pPr>
              <w:tabs>
                <w:tab w:val="left" w:pos="8280"/>
              </w:tabs>
              <w:autoSpaceDE w:val="0"/>
              <w:autoSpaceDN w:val="0"/>
              <w:adjustRightInd w:val="0"/>
              <w:ind w:right="25"/>
              <w:jc w:val="center"/>
              <w:rPr>
                <w:rFonts w:ascii="宋体" w:hAnsi="宋体" w:cs="宋体"/>
                <w:b/>
                <w:szCs w:val="21"/>
              </w:rPr>
            </w:pPr>
            <w:bookmarkStart w:id="2" w:name="EBc3c9f0bc06b6413d849824fe98ba274c"/>
            <w:r>
              <w:rPr>
                <w:rFonts w:hint="eastAsia" w:ascii="宋体" w:hAnsi="宋体" w:cs="宋体"/>
                <w:b/>
                <w:szCs w:val="21"/>
              </w:rPr>
              <w:t>序号</w:t>
            </w:r>
          </w:p>
        </w:tc>
        <w:tc>
          <w:tcPr>
            <w:tcW w:w="1733" w:type="dxa"/>
            <w:vAlign w:val="center"/>
          </w:tcPr>
          <w:p w14:paraId="38A18D20">
            <w:pPr>
              <w:tabs>
                <w:tab w:val="left" w:pos="8280"/>
              </w:tabs>
              <w:autoSpaceDE w:val="0"/>
              <w:autoSpaceDN w:val="0"/>
              <w:adjustRightInd w:val="0"/>
              <w:ind w:right="25" w:firstLine="105" w:firstLineChars="50"/>
              <w:jc w:val="center"/>
              <w:rPr>
                <w:rFonts w:ascii="宋体" w:hAnsi="宋体" w:cs="宋体"/>
                <w:b/>
                <w:szCs w:val="21"/>
              </w:rPr>
            </w:pPr>
            <w:r>
              <w:rPr>
                <w:rFonts w:hint="eastAsia" w:ascii="宋体" w:hAnsi="宋体" w:cs="宋体"/>
                <w:b/>
                <w:szCs w:val="21"/>
              </w:rPr>
              <w:t>项目名称</w:t>
            </w:r>
          </w:p>
        </w:tc>
        <w:tc>
          <w:tcPr>
            <w:tcW w:w="1567" w:type="dxa"/>
            <w:vAlign w:val="center"/>
          </w:tcPr>
          <w:p w14:paraId="3C96FE41">
            <w:pPr>
              <w:tabs>
                <w:tab w:val="left" w:pos="8280"/>
              </w:tabs>
              <w:autoSpaceDE w:val="0"/>
              <w:autoSpaceDN w:val="0"/>
              <w:adjustRightInd w:val="0"/>
              <w:ind w:right="25"/>
              <w:jc w:val="center"/>
              <w:rPr>
                <w:rFonts w:ascii="宋体" w:hAnsi="宋体" w:cs="宋体"/>
                <w:b/>
                <w:szCs w:val="21"/>
              </w:rPr>
            </w:pPr>
            <w:r>
              <w:rPr>
                <w:rFonts w:hint="eastAsia" w:ascii="宋体" w:hAnsi="宋体" w:cs="宋体"/>
                <w:b/>
                <w:kern w:val="0"/>
                <w:szCs w:val="21"/>
              </w:rPr>
              <w:t>简要技术要求</w:t>
            </w:r>
          </w:p>
        </w:tc>
        <w:tc>
          <w:tcPr>
            <w:tcW w:w="816" w:type="dxa"/>
            <w:vAlign w:val="center"/>
          </w:tcPr>
          <w:p w14:paraId="2634BB97">
            <w:pPr>
              <w:tabs>
                <w:tab w:val="left" w:pos="8280"/>
              </w:tabs>
              <w:autoSpaceDE w:val="0"/>
              <w:autoSpaceDN w:val="0"/>
              <w:adjustRightInd w:val="0"/>
              <w:ind w:right="25"/>
              <w:jc w:val="center"/>
              <w:rPr>
                <w:rFonts w:ascii="宋体" w:hAnsi="宋体" w:cs="宋体"/>
                <w:b/>
                <w:szCs w:val="21"/>
              </w:rPr>
            </w:pPr>
            <w:r>
              <w:rPr>
                <w:rFonts w:hint="eastAsia" w:ascii="宋体" w:hAnsi="宋体" w:cs="宋体"/>
                <w:b/>
                <w:szCs w:val="21"/>
              </w:rPr>
              <w:t>数量</w:t>
            </w:r>
          </w:p>
        </w:tc>
        <w:tc>
          <w:tcPr>
            <w:tcW w:w="817" w:type="dxa"/>
            <w:vAlign w:val="center"/>
          </w:tcPr>
          <w:p w14:paraId="6A0AFC4F">
            <w:pPr>
              <w:tabs>
                <w:tab w:val="left" w:pos="8280"/>
              </w:tabs>
              <w:autoSpaceDE w:val="0"/>
              <w:autoSpaceDN w:val="0"/>
              <w:adjustRightInd w:val="0"/>
              <w:ind w:right="25"/>
              <w:jc w:val="center"/>
              <w:rPr>
                <w:rFonts w:ascii="宋体" w:hAnsi="宋体" w:cs="宋体"/>
                <w:b/>
                <w:szCs w:val="21"/>
              </w:rPr>
            </w:pPr>
            <w:r>
              <w:rPr>
                <w:rFonts w:hint="eastAsia" w:ascii="宋体" w:hAnsi="宋体" w:cs="宋体"/>
                <w:b/>
                <w:szCs w:val="21"/>
              </w:rPr>
              <w:t>单位</w:t>
            </w:r>
          </w:p>
        </w:tc>
        <w:tc>
          <w:tcPr>
            <w:tcW w:w="2312" w:type="dxa"/>
            <w:vAlign w:val="center"/>
          </w:tcPr>
          <w:p w14:paraId="0DA7E868">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最高限价</w:t>
            </w:r>
          </w:p>
        </w:tc>
        <w:tc>
          <w:tcPr>
            <w:tcW w:w="714" w:type="dxa"/>
            <w:vAlign w:val="center"/>
          </w:tcPr>
          <w:p w14:paraId="0EE476F7">
            <w:pPr>
              <w:tabs>
                <w:tab w:val="left" w:pos="8280"/>
              </w:tabs>
              <w:autoSpaceDE w:val="0"/>
              <w:autoSpaceDN w:val="0"/>
              <w:adjustRightInd w:val="0"/>
              <w:ind w:right="25"/>
              <w:jc w:val="center"/>
              <w:rPr>
                <w:rFonts w:ascii="宋体" w:hAnsi="宋体" w:cs="宋体"/>
                <w:b/>
                <w:szCs w:val="21"/>
              </w:rPr>
            </w:pPr>
            <w:r>
              <w:rPr>
                <w:rFonts w:hint="eastAsia" w:ascii="宋体" w:hAnsi="宋体" w:cs="宋体"/>
                <w:b/>
                <w:szCs w:val="21"/>
              </w:rPr>
              <w:t>备注</w:t>
            </w:r>
          </w:p>
        </w:tc>
      </w:tr>
      <w:tr w14:paraId="4C24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17" w:type="dxa"/>
            <w:vAlign w:val="center"/>
          </w:tcPr>
          <w:p w14:paraId="301E6FBA">
            <w:pPr>
              <w:tabs>
                <w:tab w:val="left" w:pos="8280"/>
              </w:tabs>
              <w:autoSpaceDE w:val="0"/>
              <w:autoSpaceDN w:val="0"/>
              <w:adjustRightInd w:val="0"/>
              <w:ind w:right="25"/>
              <w:jc w:val="center"/>
              <w:rPr>
                <w:rFonts w:ascii="宋体" w:hAnsi="宋体" w:cs="宋体"/>
                <w:szCs w:val="21"/>
              </w:rPr>
            </w:pPr>
            <w:r>
              <w:rPr>
                <w:rFonts w:hint="eastAsia" w:ascii="宋体" w:hAnsi="宋体" w:cs="宋体"/>
                <w:szCs w:val="21"/>
              </w:rPr>
              <w:t>1</w:t>
            </w:r>
          </w:p>
        </w:tc>
        <w:tc>
          <w:tcPr>
            <w:tcW w:w="1733" w:type="dxa"/>
            <w:vAlign w:val="center"/>
          </w:tcPr>
          <w:p w14:paraId="75B24275">
            <w:pPr>
              <w:tabs>
                <w:tab w:val="left" w:pos="8280"/>
              </w:tabs>
              <w:autoSpaceDE w:val="0"/>
              <w:autoSpaceDN w:val="0"/>
              <w:adjustRightInd w:val="0"/>
              <w:ind w:right="25"/>
              <w:jc w:val="center"/>
              <w:rPr>
                <w:rFonts w:ascii="宋体" w:hAnsi="宋体" w:cs="宋体"/>
                <w:szCs w:val="21"/>
              </w:rPr>
            </w:pPr>
            <w:r>
              <w:rPr>
                <w:rFonts w:hint="eastAsia" w:ascii="宋体" w:hAnsi="宋体" w:cs="宋体"/>
                <w:szCs w:val="21"/>
                <w:lang w:eastAsia="zh-CN"/>
              </w:rPr>
              <w:t>杭州国宇物产管理有限公司</w:t>
            </w:r>
            <w:r>
              <w:rPr>
                <w:rFonts w:hint="eastAsia" w:ascii="宋体" w:hAnsi="宋体" w:cs="宋体"/>
                <w:szCs w:val="21"/>
              </w:rPr>
              <w:t>企业年金基金受托管理服务项目</w:t>
            </w:r>
          </w:p>
        </w:tc>
        <w:tc>
          <w:tcPr>
            <w:tcW w:w="1567" w:type="dxa"/>
            <w:vAlign w:val="center"/>
          </w:tcPr>
          <w:p w14:paraId="2C1BD15C">
            <w:pPr>
              <w:widowControl/>
              <w:jc w:val="center"/>
              <w:rPr>
                <w:rFonts w:ascii="宋体" w:hAnsi="宋体" w:cs="宋体"/>
                <w:szCs w:val="21"/>
              </w:rPr>
            </w:pPr>
            <w:r>
              <w:rPr>
                <w:rFonts w:hint="eastAsia" w:ascii="宋体" w:hAnsi="宋体" w:cs="宋体"/>
                <w:szCs w:val="21"/>
              </w:rPr>
              <w:t>详见项目需求</w:t>
            </w:r>
          </w:p>
        </w:tc>
        <w:tc>
          <w:tcPr>
            <w:tcW w:w="816" w:type="dxa"/>
            <w:vAlign w:val="center"/>
          </w:tcPr>
          <w:p w14:paraId="23193966">
            <w:pPr>
              <w:tabs>
                <w:tab w:val="left" w:pos="8280"/>
              </w:tabs>
              <w:autoSpaceDE w:val="0"/>
              <w:autoSpaceDN w:val="0"/>
              <w:adjustRightInd w:val="0"/>
              <w:ind w:right="25"/>
              <w:jc w:val="center"/>
              <w:rPr>
                <w:rFonts w:ascii="宋体" w:hAnsi="宋体" w:cs="宋体"/>
                <w:szCs w:val="21"/>
              </w:rPr>
            </w:pPr>
            <w:r>
              <w:rPr>
                <w:rFonts w:hint="eastAsia" w:ascii="宋体" w:hAnsi="宋体" w:cs="宋体"/>
                <w:szCs w:val="21"/>
              </w:rPr>
              <w:t>1</w:t>
            </w:r>
          </w:p>
        </w:tc>
        <w:tc>
          <w:tcPr>
            <w:tcW w:w="817" w:type="dxa"/>
            <w:vAlign w:val="center"/>
          </w:tcPr>
          <w:p w14:paraId="6A5FCE02">
            <w:pPr>
              <w:widowControl/>
              <w:jc w:val="center"/>
              <w:rPr>
                <w:rFonts w:ascii="宋体" w:hAnsi="宋体" w:cs="宋体"/>
                <w:szCs w:val="21"/>
              </w:rPr>
            </w:pPr>
            <w:r>
              <w:rPr>
                <w:rFonts w:hint="eastAsia" w:ascii="宋体" w:hAnsi="宋体" w:cs="宋体"/>
                <w:szCs w:val="21"/>
              </w:rPr>
              <w:t>项</w:t>
            </w:r>
          </w:p>
        </w:tc>
        <w:tc>
          <w:tcPr>
            <w:tcW w:w="2312" w:type="dxa"/>
            <w:vAlign w:val="center"/>
          </w:tcPr>
          <w:p w14:paraId="7E3E12C5">
            <w:pPr>
              <w:tabs>
                <w:tab w:val="left" w:pos="8280"/>
              </w:tabs>
              <w:autoSpaceDE w:val="0"/>
              <w:autoSpaceDN w:val="0"/>
              <w:adjustRightInd w:val="0"/>
              <w:jc w:val="center"/>
              <w:rPr>
                <w:rFonts w:ascii="宋体" w:hAnsi="宋体" w:cs="宋体"/>
                <w:szCs w:val="21"/>
              </w:rPr>
            </w:pPr>
            <w:r>
              <w:rPr>
                <w:rFonts w:hint="eastAsia" w:ascii="宋体" w:hAnsi="宋体" w:cs="宋体"/>
                <w:bCs/>
                <w:szCs w:val="21"/>
              </w:rPr>
              <w:t>管理费用不得超过《企业年金基金管理办法》规定的上限。</w:t>
            </w:r>
          </w:p>
        </w:tc>
        <w:tc>
          <w:tcPr>
            <w:tcW w:w="714" w:type="dxa"/>
            <w:vAlign w:val="center"/>
          </w:tcPr>
          <w:p w14:paraId="38411A4C">
            <w:pPr>
              <w:tabs>
                <w:tab w:val="left" w:pos="8280"/>
              </w:tabs>
              <w:autoSpaceDE w:val="0"/>
              <w:autoSpaceDN w:val="0"/>
              <w:adjustRightInd w:val="0"/>
              <w:ind w:right="25"/>
              <w:jc w:val="center"/>
              <w:rPr>
                <w:rFonts w:ascii="宋体" w:hAnsi="宋体" w:cs="宋体"/>
                <w:szCs w:val="21"/>
              </w:rPr>
            </w:pPr>
          </w:p>
        </w:tc>
      </w:tr>
      <w:bookmarkEnd w:id="2"/>
    </w:tbl>
    <w:p w14:paraId="68420CAF">
      <w:pPr>
        <w:keepNext w:val="0"/>
        <w:keepLines w:val="0"/>
        <w:pageBreakBefore w:val="0"/>
        <w:widowControl w:val="0"/>
        <w:kinsoku/>
        <w:wordWrap/>
        <w:overflowPunct/>
        <w:topLinePunct w:val="0"/>
        <w:autoSpaceDE/>
        <w:autoSpaceDN/>
        <w:bidi w:val="0"/>
        <w:adjustRightInd w:val="0"/>
        <w:snapToGrid w:val="0"/>
        <w:spacing w:before="219" w:beforeLines="50" w:line="360" w:lineRule="auto"/>
        <w:ind w:firstLine="422" w:firstLineChars="200"/>
        <w:textAlignment w:val="auto"/>
        <w:rPr>
          <w:rFonts w:ascii="宋体" w:hAnsi="宋体" w:cs="宋体"/>
          <w:b/>
          <w:bCs/>
          <w:szCs w:val="21"/>
        </w:rPr>
      </w:pPr>
      <w:r>
        <w:rPr>
          <w:rFonts w:hint="eastAsia" w:ascii="宋体" w:hAnsi="宋体" w:cs="宋体"/>
          <w:b/>
          <w:bCs/>
          <w:szCs w:val="21"/>
          <w:lang w:val="en-US" w:eastAsia="zh-CN"/>
        </w:rPr>
        <w:t>二</w:t>
      </w:r>
      <w:r>
        <w:rPr>
          <w:rFonts w:hint="eastAsia" w:ascii="宋体" w:hAnsi="宋体" w:cs="宋体"/>
          <w:b/>
          <w:bCs/>
          <w:szCs w:val="21"/>
        </w:rPr>
        <w:t>、合格磋商供应商的资格条件：</w:t>
      </w:r>
    </w:p>
    <w:p w14:paraId="3736DEAD">
      <w:pPr>
        <w:spacing w:line="360" w:lineRule="auto"/>
        <w:ind w:firstLine="422" w:firstLineChars="200"/>
        <w:jc w:val="left"/>
        <w:rPr>
          <w:rFonts w:ascii="宋体" w:hAnsi="宋体" w:cs="宋体"/>
          <w:b/>
          <w:szCs w:val="21"/>
        </w:rPr>
      </w:pPr>
      <w:r>
        <w:rPr>
          <w:rFonts w:hint="eastAsia" w:ascii="宋体" w:hAnsi="宋体" w:cs="宋体"/>
          <w:b/>
          <w:szCs w:val="21"/>
        </w:rPr>
        <w:t>（一）投标人须为独立法人机构或省级分支机构（省级分支机构包含直辖市级别分支机构，下同）或经省级及以上分支机构授权的分支机构。（同一独立法人机构只允许自身或授权一家分支机构参加投标，否则均按否决投标处理）；</w:t>
      </w:r>
    </w:p>
    <w:p w14:paraId="2BAC2D72">
      <w:pPr>
        <w:spacing w:line="360" w:lineRule="auto"/>
        <w:ind w:firstLine="422" w:firstLineChars="200"/>
        <w:jc w:val="left"/>
        <w:rPr>
          <w:rFonts w:ascii="宋体" w:hAnsi="宋体" w:cs="宋体"/>
          <w:b/>
          <w:szCs w:val="21"/>
          <w:highlight w:val="none"/>
        </w:rPr>
      </w:pPr>
      <w:r>
        <w:rPr>
          <w:rFonts w:hint="eastAsia" w:ascii="宋体" w:hAnsi="宋体" w:cs="宋体"/>
          <w:b/>
          <w:szCs w:val="21"/>
        </w:rPr>
        <w:t>（二）信用记录：投标人未被列入失信被执行人名单、重大税收违法案件当事人名单，信用信息以信用中国网站（www.creditchina.gov.cn）公布为准。</w:t>
      </w:r>
    </w:p>
    <w:p w14:paraId="772A7A91">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三）与采购人存在利害关系可能影响采购公正性的法人、其他组织或者个人不得参加本项目采购活动的；法律、行政法规规定的其他条件：单位负责人为同一人或者存在直接控股、管理关系的不同供应商，不得同时参加同一项目投标，不得再参与本项目投标。</w:t>
      </w:r>
    </w:p>
    <w:p w14:paraId="19D4C992">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（四）本项目供应商特定资格要求</w:t>
      </w:r>
    </w:p>
    <w:p w14:paraId="507301C3">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1、需具备具有中华人民共和国人力资源和社会保障部颁发的有效的《企业年金基金管理机构资格证书》；</w:t>
      </w:r>
    </w:p>
    <w:p w14:paraId="7A54A203">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2、本项目不接受联合体磋商。</w:t>
      </w:r>
    </w:p>
    <w:p w14:paraId="219201E3">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lang w:val="en-US" w:eastAsia="zh-CN"/>
        </w:rPr>
        <w:t>三</w:t>
      </w:r>
      <w:r>
        <w:rPr>
          <w:rFonts w:hint="eastAsia" w:ascii="宋体" w:hAnsi="宋体" w:cs="宋体"/>
          <w:b/>
          <w:bCs/>
          <w:szCs w:val="21"/>
          <w:highlight w:val="none"/>
        </w:rPr>
        <w:t>、磋商文件的发售：</w:t>
      </w:r>
    </w:p>
    <w:p w14:paraId="54EF25C2">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1、发售时间：</w:t>
      </w:r>
      <w:r>
        <w:rPr>
          <w:rFonts w:hint="eastAsia" w:ascii="宋体" w:hAnsi="宋体" w:cs="宋体"/>
          <w:szCs w:val="21"/>
          <w:highlight w:val="none"/>
        </w:rPr>
        <w:t>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w:t>
      </w:r>
      <w:r>
        <w:rPr>
          <w:rFonts w:hint="eastAsia" w:ascii="宋体" w:hAnsi="宋体" w:cs="宋体"/>
          <w:szCs w:val="21"/>
          <w:highlight w:val="none"/>
          <w:lang w:val="en-US" w:eastAsia="zh-CN"/>
        </w:rPr>
        <w:t>14</w:t>
      </w:r>
      <w:r>
        <w:rPr>
          <w:rFonts w:hint="eastAsia" w:ascii="宋体" w:hAnsi="宋体" w:cs="宋体"/>
          <w:szCs w:val="21"/>
          <w:highlight w:val="none"/>
        </w:rPr>
        <w:t>日至202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w:t>
      </w:r>
      <w:r>
        <w:rPr>
          <w:rFonts w:hint="eastAsia" w:ascii="宋体" w:hAnsi="宋体" w:cs="宋体"/>
          <w:szCs w:val="21"/>
          <w:highlight w:val="none"/>
          <w:lang w:val="en-US" w:eastAsia="zh-CN"/>
        </w:rPr>
        <w:t>22</w:t>
      </w:r>
      <w:r>
        <w:rPr>
          <w:rFonts w:hint="eastAsia" w:ascii="宋体" w:hAnsi="宋体" w:cs="宋体"/>
          <w:szCs w:val="21"/>
          <w:highlight w:val="none"/>
        </w:rPr>
        <w:t>日(双休日及法定节假日除外，每日上午9：30—11：30，13：30—16：30，北京时间)</w:t>
      </w:r>
    </w:p>
    <w:p w14:paraId="7F8F0C6D">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2、发售地点：</w:t>
      </w:r>
      <w:r>
        <w:rPr>
          <w:rFonts w:hint="eastAsia" w:ascii="宋体" w:hAnsi="宋体" w:cs="宋体"/>
          <w:b w:val="0"/>
          <w:bCs w:val="0"/>
          <w:szCs w:val="21"/>
          <w:highlight w:val="none"/>
          <w:lang w:val="en-US" w:eastAsia="zh-CN"/>
        </w:rPr>
        <w:t>国有资本投资大厦6楼</w:t>
      </w:r>
      <w:r>
        <w:rPr>
          <w:rFonts w:hint="eastAsia" w:ascii="宋体" w:hAnsi="宋体" w:cs="宋体"/>
          <w:szCs w:val="21"/>
          <w:highlight w:val="none"/>
        </w:rPr>
        <w:t>。</w:t>
      </w:r>
    </w:p>
    <w:p w14:paraId="26EE9258">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3、标书售价：</w:t>
      </w:r>
      <w:r>
        <w:rPr>
          <w:rFonts w:hint="eastAsia" w:ascii="宋体" w:hAnsi="宋体" w:cs="宋体"/>
          <w:szCs w:val="21"/>
          <w:highlight w:val="none"/>
        </w:rPr>
        <w:t>0元</w:t>
      </w:r>
    </w:p>
    <w:p w14:paraId="5AC43803">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4、购买标书时必须提交的资料：</w:t>
      </w:r>
    </w:p>
    <w:p w14:paraId="56FDDC1C">
      <w:pPr>
        <w:spacing w:line="360" w:lineRule="auto"/>
        <w:ind w:firstLine="420" w:firstLineChars="200"/>
        <w:rPr>
          <w:rFonts w:ascii="宋体" w:hAnsi="宋体" w:cs="宋体"/>
          <w:szCs w:val="21"/>
          <w:highlight w:val="none"/>
        </w:rPr>
      </w:pPr>
      <w:r>
        <w:rPr>
          <w:rFonts w:hint="eastAsia" w:ascii="宋体" w:hAnsi="宋体" w:cs="宋体"/>
          <w:szCs w:val="21"/>
          <w:highlight w:val="none"/>
        </w:rPr>
        <w:t>（1）独立法人机构须提供营业执照复印件并加盖公章；分支机构须同时提供分支机构营业执照复印件并加盖公章、授权书复印件并加盖公章；</w:t>
      </w:r>
    </w:p>
    <w:p w14:paraId="5F7EEF78">
      <w:pPr>
        <w:spacing w:line="360" w:lineRule="auto"/>
        <w:ind w:firstLine="420" w:firstLineChars="200"/>
        <w:rPr>
          <w:rFonts w:ascii="宋体" w:hAnsi="宋体" w:cs="宋体"/>
          <w:szCs w:val="21"/>
          <w:highlight w:val="none"/>
        </w:rPr>
      </w:pPr>
      <w:r>
        <w:rPr>
          <w:rFonts w:hint="eastAsia" w:ascii="宋体" w:hAnsi="宋体" w:cs="宋体"/>
          <w:szCs w:val="21"/>
          <w:highlight w:val="none"/>
        </w:rPr>
        <w:t>（2）法定代表人授权书原件（加盖公章）；</w:t>
      </w:r>
    </w:p>
    <w:p w14:paraId="18DDE91A">
      <w:pPr>
        <w:spacing w:line="360" w:lineRule="auto"/>
        <w:ind w:firstLine="420" w:firstLineChars="200"/>
        <w:rPr>
          <w:rFonts w:ascii="宋体" w:hAnsi="宋体" w:cs="宋体"/>
          <w:szCs w:val="21"/>
          <w:highlight w:val="none"/>
        </w:rPr>
      </w:pPr>
      <w:r>
        <w:rPr>
          <w:rFonts w:hint="eastAsia" w:ascii="宋体" w:hAnsi="宋体" w:cs="宋体"/>
          <w:szCs w:val="21"/>
          <w:highlight w:val="none"/>
        </w:rPr>
        <w:t>（3）报名人有效身份证件(复印件加盖公章)；</w:t>
      </w:r>
    </w:p>
    <w:p w14:paraId="7F0E199B">
      <w:pPr>
        <w:spacing w:line="360" w:lineRule="auto"/>
        <w:ind w:firstLine="420" w:firstLineChars="200"/>
        <w:rPr>
          <w:rFonts w:ascii="宋体" w:hAnsi="宋体" w:cs="宋体"/>
          <w:szCs w:val="21"/>
          <w:highlight w:val="none"/>
        </w:rPr>
      </w:pPr>
      <w:r>
        <w:rPr>
          <w:rFonts w:hint="eastAsia" w:ascii="宋体" w:hAnsi="宋体" w:cs="宋体"/>
          <w:szCs w:val="21"/>
          <w:highlight w:val="none"/>
        </w:rPr>
        <w:t>（4）需具备具有中华人民共和国人力资源和社会保障部颁发的有效的《企业年金基金管理机构资格证书》或以《人力资源社会保障部关于企业年金基金管理机构资格延续的通告》中“延续12</w:t>
      </w:r>
      <w:r>
        <w:rPr>
          <w:rFonts w:hint="eastAsia" w:ascii="宋体" w:hAnsi="宋体" w:cs="宋体"/>
          <w:szCs w:val="21"/>
          <w:highlight w:val="none"/>
        </w:rPr>
        <w:t>个企业年金基金法人受托机构资格”名单为准</w:t>
      </w:r>
      <w:r>
        <w:rPr>
          <w:rFonts w:hint="eastAsia" w:ascii="宋体" w:hAnsi="宋体" w:cs="宋体"/>
          <w:szCs w:val="21"/>
          <w:highlight w:val="none"/>
          <w:lang w:eastAsia="zh-CN"/>
        </w:rPr>
        <w:t>。</w:t>
      </w:r>
      <w:r>
        <w:rPr>
          <w:rFonts w:hint="eastAsia" w:ascii="宋体" w:hAnsi="宋体" w:cs="宋体"/>
          <w:szCs w:val="21"/>
          <w:highlight w:val="none"/>
        </w:rPr>
        <w:t>（提供资格证书复印件</w:t>
      </w:r>
      <w:r>
        <w:rPr>
          <w:rFonts w:hint="eastAsia" w:ascii="宋体" w:hAnsi="宋体" w:cs="宋体"/>
          <w:szCs w:val="21"/>
          <w:highlight w:val="none"/>
          <w:lang w:val="en-US" w:eastAsia="zh-CN"/>
        </w:rPr>
        <w:t>或通告文件</w:t>
      </w:r>
      <w:r>
        <w:rPr>
          <w:rFonts w:hint="eastAsia" w:ascii="宋体" w:hAnsi="宋体" w:cs="宋体"/>
          <w:szCs w:val="21"/>
          <w:highlight w:val="none"/>
        </w:rPr>
        <w:t>并加盖公章。）</w:t>
      </w:r>
    </w:p>
    <w:p w14:paraId="3F74B4AA">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lang w:val="en-US" w:eastAsia="zh-CN"/>
        </w:rPr>
        <w:t>四</w:t>
      </w:r>
      <w:r>
        <w:rPr>
          <w:rFonts w:hint="eastAsia" w:ascii="宋体" w:hAnsi="宋体" w:cs="宋体"/>
          <w:b/>
          <w:bCs/>
          <w:szCs w:val="21"/>
          <w:highlight w:val="none"/>
        </w:rPr>
        <w:t>、响应文件递交截止时间及磋商开始时间、地点：</w:t>
      </w:r>
    </w:p>
    <w:p w14:paraId="292434AC">
      <w:pPr>
        <w:spacing w:line="360" w:lineRule="auto"/>
        <w:ind w:firstLine="420" w:firstLineChars="200"/>
        <w:rPr>
          <w:rFonts w:ascii="宋体" w:hAnsi="宋体" w:cs="宋体"/>
          <w:b/>
          <w:bCs/>
          <w:color w:val="FF0000"/>
          <w:szCs w:val="21"/>
          <w:highlight w:val="none"/>
        </w:rPr>
      </w:pPr>
      <w:r>
        <w:rPr>
          <w:rFonts w:hint="eastAsia" w:ascii="宋体" w:hAnsi="宋体" w:cs="宋体"/>
          <w:szCs w:val="21"/>
          <w:highlight w:val="none"/>
        </w:rPr>
        <w:t>本次招标将于202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w:t>
      </w:r>
      <w:r>
        <w:rPr>
          <w:rFonts w:hint="eastAsia" w:ascii="宋体" w:hAnsi="宋体" w:cs="宋体"/>
          <w:szCs w:val="21"/>
          <w:highlight w:val="none"/>
          <w:lang w:val="en-US" w:eastAsia="zh-CN"/>
        </w:rPr>
        <w:t>23</w:t>
      </w:r>
      <w:r>
        <w:rPr>
          <w:rFonts w:hint="eastAsia" w:ascii="宋体" w:hAnsi="宋体" w:cs="宋体"/>
          <w:szCs w:val="21"/>
          <w:highlight w:val="none"/>
        </w:rPr>
        <w:t>日1</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0整在</w:t>
      </w:r>
      <w:r>
        <w:rPr>
          <w:rFonts w:hint="eastAsia" w:ascii="宋体" w:hAnsi="宋体" w:cs="宋体"/>
          <w:szCs w:val="21"/>
          <w:highlight w:val="none"/>
          <w:lang w:val="en-US" w:eastAsia="zh-CN"/>
        </w:rPr>
        <w:t>国有资本投资大厦6楼会议室</w:t>
      </w:r>
      <w:r>
        <w:rPr>
          <w:rFonts w:hint="eastAsia" w:ascii="宋体" w:hAnsi="宋体" w:cs="宋体"/>
          <w:szCs w:val="21"/>
          <w:highlight w:val="none"/>
        </w:rPr>
        <w:t>开始进行。</w:t>
      </w:r>
    </w:p>
    <w:p w14:paraId="16E2F86A">
      <w:pPr>
        <w:spacing w:line="360" w:lineRule="auto"/>
        <w:ind w:left="0" w:leftChars="0" w:right="-159" w:firstLine="361" w:firstLineChars="171"/>
        <w:rPr>
          <w:rFonts w:ascii="宋体" w:hAnsi="宋体" w:cs="宋体"/>
          <w:b/>
          <w:bCs/>
          <w:szCs w:val="21"/>
          <w:highlight w:val="none"/>
        </w:rPr>
      </w:pPr>
      <w:r>
        <w:rPr>
          <w:rFonts w:hint="eastAsia" w:ascii="宋体" w:hAnsi="宋体" w:cs="宋体"/>
          <w:b/>
          <w:bCs/>
          <w:szCs w:val="21"/>
          <w:highlight w:val="none"/>
          <w:lang w:val="en-US" w:eastAsia="zh-CN"/>
        </w:rPr>
        <w:t>五</w:t>
      </w:r>
      <w:r>
        <w:rPr>
          <w:rFonts w:hint="eastAsia" w:ascii="宋体" w:hAnsi="宋体" w:cs="宋体"/>
          <w:b/>
          <w:bCs/>
          <w:szCs w:val="21"/>
          <w:highlight w:val="none"/>
        </w:rPr>
        <w:t>、</w:t>
      </w:r>
      <w:r>
        <w:rPr>
          <w:rFonts w:hint="eastAsia" w:ascii="宋体" w:hAnsi="宋体" w:cs="宋体"/>
          <w:b/>
          <w:bCs/>
          <w:highlight w:val="none"/>
        </w:rPr>
        <w:t>本项目需要投标人将磋商响应文件在投标截止时间前按要求密封并邮寄</w:t>
      </w:r>
      <w:r>
        <w:rPr>
          <w:rFonts w:hint="eastAsia" w:ascii="宋体" w:hAnsi="宋体" w:cs="宋体"/>
          <w:b/>
          <w:bCs/>
          <w:highlight w:val="none"/>
          <w:lang w:val="en-US" w:eastAsia="zh-CN"/>
        </w:rPr>
        <w:t>或直接递送</w:t>
      </w:r>
      <w:r>
        <w:rPr>
          <w:rFonts w:hint="eastAsia" w:ascii="宋体" w:hAnsi="宋体" w:cs="宋体"/>
          <w:b/>
          <w:bCs/>
          <w:highlight w:val="none"/>
        </w:rPr>
        <w:t>到</w:t>
      </w:r>
      <w:r>
        <w:rPr>
          <w:rFonts w:hint="eastAsia" w:ascii="宋体" w:hAnsi="宋体" w:cs="宋体"/>
          <w:szCs w:val="21"/>
          <w:highlight w:val="none"/>
          <w:lang w:val="en-US" w:eastAsia="zh-CN"/>
        </w:rPr>
        <w:t>国有资本投资大厦6楼办公室</w:t>
      </w:r>
      <w:r>
        <w:rPr>
          <w:rFonts w:hint="eastAsia" w:ascii="宋体" w:hAnsi="宋体" w:cs="宋体"/>
          <w:b/>
          <w:bCs/>
          <w:highlight w:val="none"/>
        </w:rPr>
        <w:t>，逾期寄达或未按要求密封将被拒收。</w:t>
      </w:r>
    </w:p>
    <w:p w14:paraId="46C3B2CE">
      <w:pPr>
        <w:spacing w:line="360" w:lineRule="auto"/>
        <w:ind w:left="363" w:right="-159"/>
        <w:rPr>
          <w:rFonts w:ascii="宋体" w:hAnsi="宋体" w:cs="宋体"/>
          <w:b/>
          <w:bCs/>
          <w:szCs w:val="21"/>
          <w:highlight w:val="none"/>
        </w:rPr>
      </w:pPr>
      <w:r>
        <w:rPr>
          <w:rFonts w:hint="eastAsia" w:ascii="宋体" w:hAnsi="宋体" w:cs="宋体"/>
          <w:b/>
          <w:bCs/>
          <w:szCs w:val="21"/>
          <w:highlight w:val="none"/>
          <w:lang w:val="en-US" w:eastAsia="zh-CN"/>
        </w:rPr>
        <w:t>六</w:t>
      </w:r>
      <w:r>
        <w:rPr>
          <w:rFonts w:hint="eastAsia" w:ascii="宋体" w:hAnsi="宋体" w:cs="宋体"/>
          <w:b/>
          <w:bCs/>
          <w:szCs w:val="21"/>
          <w:highlight w:val="none"/>
        </w:rPr>
        <w:t>、磋商保证金：</w:t>
      </w:r>
    </w:p>
    <w:p w14:paraId="4F187A05">
      <w:pPr>
        <w:spacing w:line="360" w:lineRule="auto"/>
        <w:ind w:right="-159" w:firstLine="420" w:firstLineChars="200"/>
        <w:rPr>
          <w:rFonts w:ascii="宋体" w:hAnsi="宋体" w:cs="宋体"/>
          <w:kern w:val="0"/>
          <w:szCs w:val="21"/>
          <w:highlight w:val="none"/>
        </w:rPr>
      </w:pPr>
      <w:r>
        <w:rPr>
          <w:rFonts w:hint="eastAsia" w:ascii="宋体" w:hAnsi="宋体" w:cs="宋体"/>
          <w:szCs w:val="21"/>
          <w:highlight w:val="none"/>
        </w:rPr>
        <w:t>不提交，但若投标人在投标过程中存在违规行为给采购人造成损失的，须赔偿全部损失。</w:t>
      </w:r>
    </w:p>
    <w:p w14:paraId="7E4EBFC7">
      <w:pPr>
        <w:spacing w:line="360" w:lineRule="auto"/>
        <w:ind w:right="-159" w:firstLine="422" w:firstLineChars="200"/>
        <w:rPr>
          <w:rFonts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、质疑和投诉：</w:t>
      </w:r>
    </w:p>
    <w:p w14:paraId="0CB507E9">
      <w:pPr>
        <w:spacing w:line="360" w:lineRule="auto"/>
        <w:ind w:firstLine="420" w:firstLineChars="200"/>
        <w:rPr>
          <w:rFonts w:ascii="宋体" w:hAnsi="宋体" w:cs="宋体"/>
          <w:b/>
          <w:szCs w:val="21"/>
          <w:highlight w:val="none"/>
        </w:rPr>
      </w:pPr>
      <w:r>
        <w:rPr>
          <w:rFonts w:hint="eastAsia" w:ascii="宋体" w:hAnsi="宋体" w:cs="宋体"/>
          <w:bCs/>
          <w:szCs w:val="21"/>
          <w:highlight w:val="none"/>
        </w:rPr>
        <w:t>供应商认为采购文件使自己的权益受到损害的，可以自收到采购文件之日（发售截止日之后收到采购文件的，以发售截止日为准）或者采购文件公告期限届满之日（</w:t>
      </w:r>
      <w:r>
        <w:rPr>
          <w:rFonts w:hint="eastAsia" w:ascii="宋体" w:hAnsi="宋体" w:cs="宋体"/>
          <w:szCs w:val="21"/>
          <w:highlight w:val="none"/>
        </w:rPr>
        <w:t>公告发布后的第6个工作日</w:t>
      </w:r>
      <w:r>
        <w:rPr>
          <w:rFonts w:hint="eastAsia" w:ascii="宋体" w:hAnsi="宋体" w:cs="宋体"/>
          <w:bCs/>
          <w:szCs w:val="21"/>
          <w:highlight w:val="none"/>
        </w:rPr>
        <w:t>）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监督管理部门投诉。</w:t>
      </w:r>
    </w:p>
    <w:p w14:paraId="063CCB80">
      <w:pPr>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lang w:val="en-US" w:eastAsia="zh-CN"/>
        </w:rPr>
        <w:t>八</w:t>
      </w:r>
      <w:r>
        <w:rPr>
          <w:rFonts w:hint="eastAsia" w:ascii="宋体" w:hAnsi="宋体" w:cs="宋体"/>
          <w:b/>
          <w:bCs/>
          <w:kern w:val="0"/>
          <w:szCs w:val="21"/>
          <w:highlight w:val="none"/>
        </w:rPr>
        <w:t>、联系方式：</w:t>
      </w:r>
    </w:p>
    <w:p w14:paraId="216A37CA">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采购人名称：</w:t>
      </w:r>
      <w:r>
        <w:rPr>
          <w:rFonts w:hint="eastAsia" w:ascii="宋体" w:hAnsi="宋体" w:cs="宋体"/>
          <w:szCs w:val="21"/>
          <w:highlight w:val="none"/>
          <w:lang w:eastAsia="zh-CN"/>
        </w:rPr>
        <w:t>杭州国宇物产管理有限公司</w:t>
      </w:r>
    </w:p>
    <w:p w14:paraId="58FDA210">
      <w:pPr>
        <w:spacing w:line="360" w:lineRule="auto"/>
        <w:ind w:firstLine="420" w:firstLineChars="200"/>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朱女士</w:t>
      </w:r>
      <w:r>
        <w:rPr>
          <w:rFonts w:hint="eastAsia" w:ascii="宋体" w:hAnsi="宋体" w:cs="宋体"/>
          <w:szCs w:val="21"/>
          <w:highlight w:val="none"/>
        </w:rPr>
        <w:t>；</w:t>
      </w:r>
    </w:p>
    <w:p w14:paraId="5102EC58">
      <w:pPr>
        <w:spacing w:line="360" w:lineRule="auto"/>
        <w:ind w:firstLine="420" w:firstLineChars="200"/>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lang w:val="en-US" w:eastAsia="zh-CN"/>
        </w:rPr>
        <w:t>85197629</w:t>
      </w:r>
      <w:r>
        <w:rPr>
          <w:rFonts w:hint="eastAsia" w:ascii="宋体" w:hAnsi="宋体" w:cs="宋体"/>
          <w:szCs w:val="21"/>
          <w:highlight w:val="none"/>
        </w:rPr>
        <w:t>；</w:t>
      </w:r>
    </w:p>
    <w:p w14:paraId="45602507">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采购人地址：</w:t>
      </w:r>
      <w:r>
        <w:rPr>
          <w:rFonts w:hint="eastAsia" w:ascii="宋体" w:hAnsi="宋体" w:cs="宋体"/>
          <w:b w:val="0"/>
          <w:bCs w:val="0"/>
          <w:szCs w:val="21"/>
          <w:highlight w:val="none"/>
          <w:lang w:val="en-US" w:eastAsia="zh-CN"/>
        </w:rPr>
        <w:t>国有资本投资大厦6楼办公室</w:t>
      </w:r>
      <w:r>
        <w:rPr>
          <w:rFonts w:hint="eastAsia" w:ascii="宋体" w:hAnsi="宋体" w:cs="宋体"/>
          <w:szCs w:val="21"/>
          <w:highlight w:val="none"/>
        </w:rPr>
        <w:t>；</w:t>
      </w:r>
    </w:p>
    <w:p w14:paraId="49EC36AB">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备注：请贵单位领取本次磋商文件后，认真阅读各项内容，进行必要的准备工作，按文件的要求详细填写和编制响应文件，并按以上确定的时间、地点准时参加投标。</w:t>
      </w:r>
    </w:p>
    <w:p w14:paraId="4537055A">
      <w:pPr>
        <w:spacing w:line="360" w:lineRule="auto"/>
        <w:ind w:firstLine="422" w:firstLineChars="200"/>
        <w:rPr>
          <w:rFonts w:hint="eastAsia" w:ascii="宋体" w:hAnsi="宋体" w:cs="宋体"/>
          <w:b/>
          <w:szCs w:val="21"/>
          <w:highlight w:val="none"/>
        </w:rPr>
      </w:pPr>
    </w:p>
    <w:p w14:paraId="065E2E18">
      <w:pPr>
        <w:spacing w:line="360" w:lineRule="auto"/>
        <w:ind w:firstLine="422" w:firstLineChars="200"/>
        <w:rPr>
          <w:rFonts w:hint="eastAsia" w:ascii="宋体" w:hAnsi="宋体" w:cs="宋体"/>
          <w:b/>
          <w:szCs w:val="21"/>
          <w:highlight w:val="none"/>
        </w:rPr>
      </w:pPr>
    </w:p>
    <w:p w14:paraId="145B67D5">
      <w:pPr>
        <w:spacing w:line="360" w:lineRule="auto"/>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杭州国宇物产管理有限公司</w:t>
      </w:r>
    </w:p>
    <w:p w14:paraId="26313B94">
      <w:pPr>
        <w:pStyle w:val="7"/>
        <w:spacing w:line="360" w:lineRule="auto"/>
        <w:jc w:val="right"/>
        <w:rPr>
          <w:rFonts w:ascii="宋体" w:hAnsi="宋体" w:cs="宋体"/>
          <w:szCs w:val="21"/>
          <w:highlight w:val="none"/>
        </w:rPr>
      </w:pPr>
      <w:r>
        <w:rPr>
          <w:rFonts w:hint="eastAsia" w:ascii="宋体" w:hAnsi="宋体" w:cs="宋体"/>
          <w:szCs w:val="21"/>
          <w:highlight w:val="none"/>
        </w:rPr>
        <w:t>二○二</w:t>
      </w:r>
      <w:r>
        <w:rPr>
          <w:rFonts w:hint="eastAsia" w:ascii="宋体" w:hAnsi="宋体" w:cs="宋体"/>
          <w:szCs w:val="21"/>
          <w:highlight w:val="none"/>
          <w:lang w:val="en-US" w:eastAsia="zh-CN"/>
        </w:rPr>
        <w:t>五</w:t>
      </w:r>
      <w:r>
        <w:rPr>
          <w:rFonts w:hint="eastAsia" w:ascii="宋体" w:hAnsi="宋体" w:cs="宋体"/>
          <w:szCs w:val="21"/>
          <w:highlight w:val="none"/>
        </w:rPr>
        <w:t>年</w:t>
      </w:r>
      <w:r>
        <w:rPr>
          <w:rFonts w:hint="eastAsia" w:ascii="宋体" w:hAnsi="宋体" w:cs="宋体"/>
          <w:szCs w:val="21"/>
          <w:highlight w:val="none"/>
          <w:lang w:val="en-US" w:eastAsia="zh-CN"/>
        </w:rPr>
        <w:t>五</w:t>
      </w:r>
      <w:r>
        <w:rPr>
          <w:rFonts w:hint="eastAsia" w:ascii="宋体" w:hAnsi="宋体" w:cs="宋体"/>
          <w:szCs w:val="21"/>
          <w:highlight w:val="none"/>
        </w:rPr>
        <w:t>月</w:t>
      </w:r>
    </w:p>
    <w:p w14:paraId="54DC7BA6">
      <w:pPr>
        <w:spacing w:line="360" w:lineRule="auto"/>
        <w:jc w:val="both"/>
        <w:outlineLvl w:val="0"/>
        <w:rPr>
          <w:rFonts w:ascii="宋体" w:hAnsi="宋体" w:cs="宋体"/>
          <w:b/>
          <w:sz w:val="36"/>
          <w:szCs w:val="36"/>
          <w:highlight w:val="none"/>
        </w:rPr>
        <w:sectPr>
          <w:footerReference r:id="rId6" w:type="first"/>
          <w:footerReference r:id="rId5" w:type="default"/>
          <w:footnotePr>
            <w:numRestart w:val="eachPage"/>
          </w:footnotePr>
          <w:endnotePr>
            <w:numRestart w:val="eachSect"/>
          </w:endnotePr>
          <w:pgSz w:w="11907" w:h="16840"/>
          <w:pgMar w:top="1418" w:right="1418" w:bottom="1418" w:left="1588" w:header="851" w:footer="839" w:gutter="0"/>
          <w:cols w:space="720" w:num="1"/>
          <w:docGrid w:linePitch="435" w:charSpace="-6554"/>
        </w:sectPr>
      </w:pPr>
    </w:p>
    <w:p w14:paraId="0213F3C1">
      <w:pPr>
        <w:spacing w:line="360" w:lineRule="auto"/>
        <w:jc w:val="center"/>
        <w:outlineLvl w:val="0"/>
        <w:rPr>
          <w:rFonts w:ascii="宋体" w:hAnsi="宋体" w:cs="宋体"/>
          <w:b/>
          <w:sz w:val="36"/>
          <w:szCs w:val="36"/>
        </w:rPr>
      </w:pPr>
      <w:r>
        <w:rPr>
          <w:rFonts w:hint="eastAsia" w:ascii="宋体" w:hAnsi="宋体" w:cs="宋体"/>
          <w:b/>
          <w:sz w:val="36"/>
          <w:szCs w:val="36"/>
        </w:rPr>
        <w:t>第二章 供应商须知</w:t>
      </w:r>
    </w:p>
    <w:p w14:paraId="177F491B">
      <w:pPr>
        <w:spacing w:line="360" w:lineRule="auto"/>
        <w:jc w:val="center"/>
        <w:rPr>
          <w:rFonts w:ascii="宋体" w:hAnsi="宋体" w:cs="宋体"/>
          <w:b/>
          <w:sz w:val="28"/>
          <w:szCs w:val="28"/>
        </w:rPr>
      </w:pPr>
      <w:r>
        <w:rPr>
          <w:rFonts w:hint="eastAsia" w:ascii="宋体" w:hAnsi="宋体" w:cs="宋体"/>
          <w:b/>
          <w:sz w:val="28"/>
          <w:szCs w:val="28"/>
        </w:rPr>
        <w:t>前  附 表</w:t>
      </w:r>
    </w:p>
    <w:tbl>
      <w:tblPr>
        <w:tblStyle w:val="2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055"/>
        <w:gridCol w:w="6210"/>
      </w:tblGrid>
      <w:tr w14:paraId="75D3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B7B3795">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序号</w:t>
            </w:r>
          </w:p>
        </w:tc>
        <w:tc>
          <w:tcPr>
            <w:tcW w:w="2055" w:type="dxa"/>
            <w:tcBorders>
              <w:top w:val="single" w:color="auto" w:sz="4" w:space="0"/>
              <w:left w:val="single" w:color="auto" w:sz="4" w:space="0"/>
              <w:bottom w:val="single" w:color="auto" w:sz="4" w:space="0"/>
              <w:right w:val="single" w:color="auto" w:sz="4" w:space="0"/>
            </w:tcBorders>
            <w:vAlign w:val="center"/>
          </w:tcPr>
          <w:p w14:paraId="5EAAAC2C">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项    目</w:t>
            </w:r>
          </w:p>
        </w:tc>
        <w:tc>
          <w:tcPr>
            <w:tcW w:w="6210" w:type="dxa"/>
            <w:tcBorders>
              <w:top w:val="single" w:color="auto" w:sz="4" w:space="0"/>
              <w:left w:val="single" w:color="auto" w:sz="4" w:space="0"/>
              <w:bottom w:val="single" w:color="auto" w:sz="4" w:space="0"/>
              <w:right w:val="single" w:color="auto" w:sz="4" w:space="0"/>
            </w:tcBorders>
            <w:vAlign w:val="center"/>
          </w:tcPr>
          <w:p w14:paraId="3EFA1A3F">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内                 容</w:t>
            </w:r>
          </w:p>
        </w:tc>
      </w:tr>
      <w:tr w14:paraId="7958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AB67790">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1</w:t>
            </w:r>
          </w:p>
        </w:tc>
        <w:tc>
          <w:tcPr>
            <w:tcW w:w="2055" w:type="dxa"/>
            <w:tcBorders>
              <w:top w:val="single" w:color="auto" w:sz="4" w:space="0"/>
              <w:left w:val="single" w:color="auto" w:sz="4" w:space="0"/>
              <w:bottom w:val="single" w:color="auto" w:sz="4" w:space="0"/>
              <w:right w:val="single" w:color="auto" w:sz="4" w:space="0"/>
            </w:tcBorders>
            <w:vAlign w:val="center"/>
          </w:tcPr>
          <w:p w14:paraId="59C65F58">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供应商特定资格要求</w:t>
            </w:r>
          </w:p>
        </w:tc>
        <w:tc>
          <w:tcPr>
            <w:tcW w:w="6210" w:type="dxa"/>
            <w:tcBorders>
              <w:top w:val="single" w:color="auto" w:sz="4" w:space="0"/>
              <w:left w:val="single" w:color="auto" w:sz="4" w:space="0"/>
              <w:bottom w:val="single" w:color="auto" w:sz="4" w:space="0"/>
              <w:right w:val="single" w:color="auto" w:sz="4" w:space="0"/>
            </w:tcBorders>
            <w:vAlign w:val="center"/>
          </w:tcPr>
          <w:p w14:paraId="5A5920BF">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zCs w:val="21"/>
              </w:rPr>
            </w:pPr>
            <w:r>
              <w:rPr>
                <w:rFonts w:hint="eastAsia" w:ascii="宋体" w:hAnsi="宋体" w:cs="宋体"/>
                <w:szCs w:val="21"/>
              </w:rPr>
              <w:t>符合竞争性磋商公告资格要求的供应商</w:t>
            </w:r>
          </w:p>
        </w:tc>
      </w:tr>
      <w:tr w14:paraId="04C3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060274C">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2</w:t>
            </w:r>
          </w:p>
        </w:tc>
        <w:tc>
          <w:tcPr>
            <w:tcW w:w="2055" w:type="dxa"/>
            <w:tcBorders>
              <w:top w:val="single" w:color="auto" w:sz="4" w:space="0"/>
              <w:left w:val="single" w:color="auto" w:sz="4" w:space="0"/>
              <w:bottom w:val="single" w:color="auto" w:sz="4" w:space="0"/>
              <w:right w:val="single" w:color="auto" w:sz="4" w:space="0"/>
            </w:tcBorders>
            <w:vAlign w:val="center"/>
          </w:tcPr>
          <w:p w14:paraId="61331F98">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答疑会或现场踏勘</w:t>
            </w:r>
          </w:p>
        </w:tc>
        <w:tc>
          <w:tcPr>
            <w:tcW w:w="6210" w:type="dxa"/>
            <w:tcBorders>
              <w:top w:val="single" w:color="auto" w:sz="4" w:space="0"/>
              <w:left w:val="single" w:color="auto" w:sz="4" w:space="0"/>
              <w:bottom w:val="single" w:color="auto" w:sz="4" w:space="0"/>
              <w:right w:val="single" w:color="auto" w:sz="4" w:space="0"/>
            </w:tcBorders>
            <w:vAlign w:val="center"/>
          </w:tcPr>
          <w:p w14:paraId="45FB5B05">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zCs w:val="21"/>
              </w:rPr>
            </w:pPr>
            <w:r>
              <w:rPr>
                <w:rFonts w:hint="eastAsia" w:ascii="宋体" w:hAnsi="宋体" w:cs="宋体"/>
                <w:szCs w:val="21"/>
              </w:rPr>
              <w:t>无</w:t>
            </w:r>
          </w:p>
        </w:tc>
      </w:tr>
      <w:tr w14:paraId="7D46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6977C75">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3</w:t>
            </w:r>
          </w:p>
        </w:tc>
        <w:tc>
          <w:tcPr>
            <w:tcW w:w="2055" w:type="dxa"/>
            <w:tcBorders>
              <w:top w:val="single" w:color="auto" w:sz="4" w:space="0"/>
              <w:left w:val="single" w:color="auto" w:sz="4" w:space="0"/>
              <w:bottom w:val="single" w:color="auto" w:sz="4" w:space="0"/>
              <w:right w:val="single" w:color="auto" w:sz="4" w:space="0"/>
            </w:tcBorders>
            <w:vAlign w:val="center"/>
          </w:tcPr>
          <w:p w14:paraId="413135D8">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磋商响应文件包装要求</w:t>
            </w:r>
          </w:p>
        </w:tc>
        <w:tc>
          <w:tcPr>
            <w:tcW w:w="6210" w:type="dxa"/>
            <w:tcBorders>
              <w:top w:val="single" w:color="auto" w:sz="4" w:space="0"/>
              <w:left w:val="single" w:color="auto" w:sz="4" w:space="0"/>
              <w:bottom w:val="single" w:color="auto" w:sz="4" w:space="0"/>
              <w:right w:val="single" w:color="auto" w:sz="4" w:space="0"/>
            </w:tcBorders>
            <w:vAlign w:val="center"/>
          </w:tcPr>
          <w:p w14:paraId="31BE2662">
            <w:pPr>
              <w:pStyle w:val="58"/>
              <w:keepNext w:val="0"/>
              <w:keepLines w:val="0"/>
              <w:pageBreakBefore w:val="0"/>
              <w:widowControl w:val="0"/>
              <w:kinsoku/>
              <w:wordWrap/>
              <w:overflowPunct/>
              <w:topLinePunct w:val="0"/>
              <w:bidi w:val="0"/>
              <w:adjustRightInd w:val="0"/>
              <w:snapToGrid w:val="0"/>
              <w:spacing w:line="240" w:lineRule="auto"/>
              <w:ind w:right="42" w:rightChars="20"/>
              <w:jc w:val="both"/>
              <w:textAlignment w:val="auto"/>
              <w:rPr>
                <w:snapToGrid w:val="0"/>
                <w:sz w:val="21"/>
                <w:szCs w:val="21"/>
                <w:highlight w:val="none"/>
                <w:lang w:eastAsia="zh-CN"/>
              </w:rPr>
            </w:pPr>
            <w:r>
              <w:rPr>
                <w:snapToGrid w:val="0"/>
                <w:sz w:val="21"/>
                <w:szCs w:val="21"/>
                <w:highlight w:val="none"/>
                <w:lang w:eastAsia="zh-CN"/>
              </w:rPr>
              <w:t>投标文件份数：</w:t>
            </w:r>
            <w:r>
              <w:rPr>
                <w:rFonts w:hint="eastAsia"/>
                <w:snapToGrid w:val="0"/>
                <w:sz w:val="21"/>
                <w:szCs w:val="21"/>
                <w:highlight w:val="none"/>
                <w:u w:val="single"/>
                <w:lang w:eastAsia="zh-CN"/>
              </w:rPr>
              <w:t>1</w:t>
            </w:r>
            <w:r>
              <w:rPr>
                <w:rFonts w:hint="eastAsia"/>
                <w:snapToGrid w:val="0"/>
                <w:sz w:val="21"/>
                <w:szCs w:val="21"/>
                <w:highlight w:val="none"/>
                <w:lang w:eastAsia="zh-CN"/>
              </w:rPr>
              <w:t>正</w:t>
            </w:r>
            <w:r>
              <w:rPr>
                <w:rFonts w:hint="eastAsia"/>
                <w:snapToGrid w:val="0"/>
                <w:sz w:val="21"/>
                <w:szCs w:val="21"/>
                <w:highlight w:val="none"/>
                <w:u w:val="single"/>
                <w:lang w:eastAsia="zh-CN"/>
              </w:rPr>
              <w:t>4</w:t>
            </w:r>
            <w:r>
              <w:rPr>
                <w:rFonts w:hint="eastAsia"/>
                <w:snapToGrid w:val="0"/>
                <w:sz w:val="21"/>
                <w:szCs w:val="21"/>
                <w:highlight w:val="none"/>
                <w:lang w:eastAsia="zh-CN"/>
              </w:rPr>
              <w:t>副</w:t>
            </w:r>
          </w:p>
          <w:p w14:paraId="068CAB21">
            <w:pPr>
              <w:pStyle w:val="58"/>
              <w:keepNext w:val="0"/>
              <w:keepLines w:val="0"/>
              <w:pageBreakBefore w:val="0"/>
              <w:widowControl w:val="0"/>
              <w:kinsoku/>
              <w:wordWrap/>
              <w:overflowPunct/>
              <w:topLinePunct w:val="0"/>
              <w:bidi w:val="0"/>
              <w:adjustRightInd w:val="0"/>
              <w:snapToGrid w:val="0"/>
              <w:spacing w:line="240" w:lineRule="auto"/>
              <w:ind w:right="42" w:rightChars="20"/>
              <w:jc w:val="both"/>
              <w:textAlignment w:val="auto"/>
              <w:rPr>
                <w:rFonts w:hint="eastAsia"/>
                <w:snapToGrid w:val="0"/>
                <w:sz w:val="21"/>
                <w:szCs w:val="21"/>
                <w:highlight w:val="none"/>
                <w:lang w:eastAsia="zh-CN"/>
              </w:rPr>
            </w:pPr>
            <w:r>
              <w:rPr>
                <w:rFonts w:hint="eastAsia"/>
                <w:snapToGrid w:val="0"/>
                <w:sz w:val="21"/>
                <w:szCs w:val="21"/>
                <w:highlight w:val="none"/>
                <w:lang w:eastAsia="zh-CN"/>
              </w:rPr>
              <w:t>是否分册装订：</w:t>
            </w:r>
          </w:p>
          <w:p w14:paraId="4C168327">
            <w:pPr>
              <w:pStyle w:val="58"/>
              <w:keepNext w:val="0"/>
              <w:keepLines w:val="0"/>
              <w:pageBreakBefore w:val="0"/>
              <w:widowControl w:val="0"/>
              <w:kinsoku/>
              <w:wordWrap/>
              <w:overflowPunct/>
              <w:topLinePunct w:val="0"/>
              <w:bidi w:val="0"/>
              <w:adjustRightInd w:val="0"/>
              <w:snapToGrid w:val="0"/>
              <w:spacing w:line="240" w:lineRule="auto"/>
              <w:ind w:right="42" w:rightChars="20"/>
              <w:jc w:val="both"/>
              <w:textAlignment w:val="auto"/>
              <w:rPr>
                <w:rFonts w:hint="eastAsia"/>
                <w:snapToGrid w:val="0"/>
                <w:sz w:val="21"/>
                <w:szCs w:val="21"/>
                <w:highlight w:val="none"/>
                <w:lang w:eastAsia="zh-CN"/>
              </w:rPr>
            </w:pPr>
            <w:r>
              <w:rPr>
                <w:snapToGrid w:val="0"/>
                <w:sz w:val="21"/>
                <w:szCs w:val="21"/>
                <w:highlight w:val="none"/>
                <w:lang w:eastAsia="zh-CN"/>
              </w:rPr>
              <w:sym w:font="Wingdings 2" w:char="0052"/>
            </w:r>
            <w:r>
              <w:rPr>
                <w:snapToGrid w:val="0"/>
                <w:sz w:val="21"/>
                <w:szCs w:val="21"/>
                <w:highlight w:val="none"/>
                <w:lang w:eastAsia="zh-CN"/>
              </w:rPr>
              <w:t>不</w:t>
            </w:r>
            <w:r>
              <w:rPr>
                <w:rFonts w:hint="eastAsia"/>
                <w:snapToGrid w:val="0"/>
                <w:sz w:val="21"/>
                <w:szCs w:val="21"/>
                <w:highlight w:val="none"/>
                <w:lang w:eastAsia="zh-CN"/>
              </w:rPr>
              <w:t>分册装订。</w:t>
            </w:r>
          </w:p>
          <w:p w14:paraId="7178CFB2">
            <w:pPr>
              <w:pStyle w:val="58"/>
              <w:keepNext w:val="0"/>
              <w:keepLines w:val="0"/>
              <w:pageBreakBefore w:val="0"/>
              <w:widowControl w:val="0"/>
              <w:kinsoku/>
              <w:wordWrap/>
              <w:overflowPunct/>
              <w:topLinePunct w:val="0"/>
              <w:bidi w:val="0"/>
              <w:adjustRightInd w:val="0"/>
              <w:snapToGrid w:val="0"/>
              <w:spacing w:line="240" w:lineRule="auto"/>
              <w:ind w:right="42" w:rightChars="20"/>
              <w:jc w:val="both"/>
              <w:textAlignment w:val="auto"/>
              <w:rPr>
                <w:rFonts w:hint="eastAsia"/>
                <w:snapToGrid w:val="0"/>
                <w:sz w:val="21"/>
                <w:szCs w:val="21"/>
                <w:highlight w:val="none"/>
                <w:lang w:eastAsia="zh-CN"/>
              </w:rPr>
            </w:pPr>
            <w:r>
              <w:rPr>
                <w:rFonts w:hint="eastAsia"/>
                <w:snapToGrid w:val="0"/>
                <w:sz w:val="21"/>
                <w:szCs w:val="21"/>
                <w:highlight w:val="none"/>
                <w:lang w:eastAsia="zh-CN"/>
              </w:rPr>
              <w:t>装订要求：A4幅面，双面打印，卡纸作封面。每册采用胶装方式装订，装订应牢固、不易拆散和换页，不得采用活页装订。</w:t>
            </w:r>
          </w:p>
          <w:p w14:paraId="6BD9F9F0">
            <w:pPr>
              <w:keepNext w:val="0"/>
              <w:keepLines w:val="0"/>
              <w:pageBreakBefore w:val="0"/>
              <w:widowControl w:val="0"/>
              <w:kinsoku/>
              <w:wordWrap/>
              <w:overflowPunct/>
              <w:topLinePunct w:val="0"/>
              <w:bidi w:val="0"/>
              <w:adjustRightInd w:val="0"/>
              <w:snapToGrid w:val="0"/>
              <w:spacing w:line="240" w:lineRule="auto"/>
              <w:textAlignment w:val="auto"/>
              <w:rPr>
                <w:rFonts w:hint="eastAsia" w:cs="Times New Roman"/>
                <w:b/>
                <w:snapToGrid w:val="0"/>
                <w:kern w:val="2"/>
                <w:sz w:val="21"/>
                <w:szCs w:val="21"/>
                <w:highlight w:val="none"/>
                <w:lang w:eastAsia="zh-CN"/>
              </w:rPr>
            </w:pPr>
            <w:r>
              <w:rPr>
                <w:rFonts w:hint="eastAsia" w:cs="Times New Roman"/>
                <w:b/>
                <w:snapToGrid w:val="0"/>
                <w:kern w:val="2"/>
                <w:sz w:val="21"/>
                <w:szCs w:val="21"/>
                <w:highlight w:val="none"/>
                <w:lang w:eastAsia="zh-CN"/>
              </w:rPr>
              <w:t>注：不采用胶装的投标文件将视作未按招标文件规定的格式编制。</w:t>
            </w:r>
          </w:p>
          <w:p w14:paraId="2E1C8FC1">
            <w:pPr>
              <w:keepNext w:val="0"/>
              <w:keepLines w:val="0"/>
              <w:pageBreakBefore w:val="0"/>
              <w:widowControl w:val="0"/>
              <w:kinsoku/>
              <w:wordWrap/>
              <w:overflowPunct/>
              <w:topLinePunct w:val="0"/>
              <w:bidi w:val="0"/>
              <w:adjustRightInd w:val="0"/>
              <w:snapToGrid w:val="0"/>
              <w:spacing w:line="240" w:lineRule="auto"/>
              <w:textAlignment w:val="auto"/>
              <w:rPr>
                <w:rFonts w:hint="eastAsia" w:cs="Times New Roman"/>
                <w:b/>
                <w:snapToGrid w:val="0"/>
                <w:kern w:val="2"/>
                <w:sz w:val="21"/>
                <w:szCs w:val="21"/>
                <w:highlight w:val="none"/>
                <w:lang w:eastAsia="zh-CN"/>
              </w:rPr>
            </w:pPr>
            <w:r>
              <w:rPr>
                <w:rFonts w:hint="eastAsia"/>
                <w:b/>
                <w:bCs/>
                <w:snapToGrid w:val="0"/>
                <w:szCs w:val="21"/>
                <w:highlight w:val="none"/>
              </w:rPr>
              <w:t>在外包装上醒目注明“项目名称，</w:t>
            </w:r>
            <w:r>
              <w:rPr>
                <w:rFonts w:hint="eastAsia"/>
                <w:b/>
                <w:bCs/>
                <w:snapToGrid w:val="0"/>
                <w:szCs w:val="21"/>
                <w:highlight w:val="none"/>
                <w:lang w:val="en-US" w:eastAsia="zh-CN"/>
              </w:rPr>
              <w:t>投标人名称，</w:t>
            </w:r>
            <w:r>
              <w:rPr>
                <w:rFonts w:hint="eastAsia"/>
                <w:b/>
                <w:bCs/>
                <w:snapToGrid w:val="0"/>
                <w:szCs w:val="21"/>
                <w:highlight w:val="none"/>
              </w:rPr>
              <w:t>投标人联系人、联系人电话（手机）”</w:t>
            </w:r>
          </w:p>
        </w:tc>
      </w:tr>
      <w:tr w14:paraId="4612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B39A6E7">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4</w:t>
            </w:r>
          </w:p>
        </w:tc>
        <w:tc>
          <w:tcPr>
            <w:tcW w:w="2055" w:type="dxa"/>
            <w:tcBorders>
              <w:top w:val="single" w:color="auto" w:sz="4" w:space="0"/>
              <w:left w:val="single" w:color="auto" w:sz="4" w:space="0"/>
              <w:bottom w:val="single" w:color="auto" w:sz="4" w:space="0"/>
              <w:right w:val="single" w:color="auto" w:sz="4" w:space="0"/>
            </w:tcBorders>
            <w:vAlign w:val="center"/>
          </w:tcPr>
          <w:p w14:paraId="333CCD22">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磋商响应文件有效期</w:t>
            </w:r>
          </w:p>
        </w:tc>
        <w:tc>
          <w:tcPr>
            <w:tcW w:w="6210" w:type="dxa"/>
            <w:tcBorders>
              <w:top w:val="single" w:color="auto" w:sz="4" w:space="0"/>
              <w:left w:val="single" w:color="auto" w:sz="4" w:space="0"/>
              <w:bottom w:val="single" w:color="auto" w:sz="4" w:space="0"/>
              <w:right w:val="single" w:color="auto" w:sz="4" w:space="0"/>
            </w:tcBorders>
            <w:vAlign w:val="center"/>
          </w:tcPr>
          <w:p w14:paraId="718DA0B4">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zCs w:val="21"/>
              </w:rPr>
            </w:pPr>
            <w:r>
              <w:rPr>
                <w:rFonts w:hint="eastAsia" w:ascii="宋体" w:hAnsi="宋体" w:cs="宋体"/>
                <w:szCs w:val="21"/>
              </w:rPr>
              <w:t>磋商响应有效期为磋商后90天，磋商响应</w:t>
            </w:r>
            <w:r>
              <w:rPr>
                <w:rFonts w:hint="eastAsia" w:ascii="宋体" w:hAnsi="宋体" w:cs="宋体"/>
                <w:kern w:val="0"/>
                <w:szCs w:val="21"/>
              </w:rPr>
              <w:t>有效期从提交</w:t>
            </w:r>
            <w:r>
              <w:rPr>
                <w:rFonts w:hint="eastAsia" w:ascii="宋体" w:hAnsi="宋体" w:cs="宋体"/>
                <w:szCs w:val="21"/>
              </w:rPr>
              <w:t>磋商响应</w:t>
            </w:r>
            <w:r>
              <w:rPr>
                <w:rFonts w:hint="eastAsia" w:ascii="宋体" w:hAnsi="宋体" w:cs="宋体"/>
                <w:kern w:val="0"/>
                <w:szCs w:val="21"/>
              </w:rPr>
              <w:t>文件的截止之日起算。</w:t>
            </w:r>
          </w:p>
        </w:tc>
      </w:tr>
      <w:tr w14:paraId="26BE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D064B3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5</w:t>
            </w:r>
          </w:p>
        </w:tc>
        <w:tc>
          <w:tcPr>
            <w:tcW w:w="2055" w:type="dxa"/>
            <w:tcBorders>
              <w:top w:val="single" w:color="auto" w:sz="4" w:space="0"/>
              <w:left w:val="single" w:color="auto" w:sz="4" w:space="0"/>
              <w:bottom w:val="single" w:color="auto" w:sz="4" w:space="0"/>
              <w:right w:val="single" w:color="auto" w:sz="4" w:space="0"/>
            </w:tcBorders>
            <w:vAlign w:val="center"/>
          </w:tcPr>
          <w:p w14:paraId="6FFEBD5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磋商响应文件递交</w:t>
            </w:r>
          </w:p>
        </w:tc>
        <w:tc>
          <w:tcPr>
            <w:tcW w:w="6210" w:type="dxa"/>
            <w:tcBorders>
              <w:top w:val="single" w:color="auto" w:sz="4" w:space="0"/>
              <w:left w:val="single" w:color="auto" w:sz="4" w:space="0"/>
              <w:bottom w:val="single" w:color="auto" w:sz="4" w:space="0"/>
              <w:right w:val="single" w:color="auto" w:sz="4" w:space="0"/>
            </w:tcBorders>
            <w:vAlign w:val="center"/>
          </w:tcPr>
          <w:p w14:paraId="24E6E1B3">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zCs w:val="21"/>
                <w:highlight w:val="none"/>
              </w:rPr>
            </w:pPr>
            <w:r>
              <w:rPr>
                <w:rFonts w:hint="eastAsia" w:ascii="宋体" w:hAnsi="宋体" w:cs="宋体"/>
                <w:szCs w:val="21"/>
                <w:highlight w:val="none"/>
              </w:rPr>
              <w:t>截止时间：</w:t>
            </w:r>
            <w:r>
              <w:rPr>
                <w:rFonts w:hint="eastAsia" w:ascii="宋体" w:hAnsi="宋体" w:cs="宋体"/>
                <w:highlight w:val="none"/>
              </w:rPr>
              <w:t>2025年</w:t>
            </w:r>
            <w:r>
              <w:rPr>
                <w:rFonts w:hint="eastAsia" w:ascii="宋体" w:hAnsi="宋体" w:cs="宋体"/>
                <w:highlight w:val="none"/>
                <w:lang w:val="en-US" w:eastAsia="zh-CN"/>
              </w:rPr>
              <w:t>5</w:t>
            </w:r>
            <w:r>
              <w:rPr>
                <w:rFonts w:hint="eastAsia" w:ascii="宋体" w:hAnsi="宋体" w:cs="宋体"/>
                <w:highlight w:val="none"/>
              </w:rPr>
              <w:t>月</w:t>
            </w:r>
            <w:r>
              <w:rPr>
                <w:rFonts w:hint="eastAsia" w:ascii="宋体" w:hAnsi="宋体" w:cs="宋体"/>
                <w:highlight w:val="none"/>
                <w:lang w:val="en-US" w:eastAsia="zh-CN"/>
              </w:rPr>
              <w:t>23</w:t>
            </w:r>
            <w:r>
              <w:rPr>
                <w:rFonts w:hint="eastAsia" w:ascii="宋体" w:hAnsi="宋体" w:cs="宋体"/>
                <w:highlight w:val="none"/>
              </w:rPr>
              <w:t>日1</w:t>
            </w:r>
            <w:r>
              <w:rPr>
                <w:rFonts w:hint="eastAsia" w:ascii="宋体" w:hAnsi="宋体" w:cs="宋体"/>
                <w:highlight w:val="none"/>
                <w:lang w:val="en-US" w:eastAsia="zh-CN"/>
              </w:rPr>
              <w:t>4</w:t>
            </w:r>
            <w:r>
              <w:rPr>
                <w:rFonts w:hint="eastAsia" w:ascii="宋体" w:hAnsi="宋体" w:cs="宋体"/>
                <w:highlight w:val="none"/>
              </w:rPr>
              <w:t>:</w:t>
            </w:r>
            <w:r>
              <w:rPr>
                <w:rFonts w:hint="eastAsia" w:ascii="宋体" w:hAnsi="宋体" w:cs="宋体"/>
                <w:highlight w:val="none"/>
                <w:lang w:val="en-US" w:eastAsia="zh-CN"/>
              </w:rPr>
              <w:t>30</w:t>
            </w:r>
            <w:r>
              <w:rPr>
                <w:rFonts w:hint="eastAsia" w:ascii="宋体" w:hAnsi="宋体" w:cs="宋体"/>
                <w:szCs w:val="21"/>
                <w:highlight w:val="none"/>
              </w:rPr>
              <w:t>（北京时间）</w:t>
            </w:r>
          </w:p>
          <w:p w14:paraId="131D470C">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highlight w:val="none"/>
              </w:rPr>
            </w:pPr>
            <w:r>
              <w:rPr>
                <w:rFonts w:hint="eastAsia" w:ascii="宋体" w:hAnsi="宋体" w:cs="宋体"/>
                <w:highlight w:val="none"/>
              </w:rPr>
              <w:t>本项目需要投标人将磋商响应文件在投标截止时间前按要求密封并顺丰邮寄或直接递送到</w:t>
            </w:r>
            <w:r>
              <w:rPr>
                <w:rFonts w:hint="eastAsia" w:ascii="宋体" w:hAnsi="宋体" w:cs="宋体"/>
                <w:b w:val="0"/>
                <w:bCs w:val="0"/>
                <w:szCs w:val="21"/>
                <w:highlight w:val="none"/>
                <w:lang w:val="en-US" w:eastAsia="zh-CN"/>
              </w:rPr>
              <w:t>国有资本投资大厦6楼办公室</w:t>
            </w:r>
            <w:r>
              <w:rPr>
                <w:rFonts w:hint="eastAsia" w:ascii="宋体" w:hAnsi="宋体" w:cs="宋体"/>
                <w:highlight w:val="none"/>
              </w:rPr>
              <w:t>，逾期寄达或未按要求密封将被拒收。</w:t>
            </w:r>
          </w:p>
        </w:tc>
      </w:tr>
      <w:tr w14:paraId="28BB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B2C5B7D">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6</w:t>
            </w:r>
          </w:p>
        </w:tc>
        <w:tc>
          <w:tcPr>
            <w:tcW w:w="2055" w:type="dxa"/>
            <w:tcBorders>
              <w:top w:val="single" w:color="auto" w:sz="4" w:space="0"/>
              <w:left w:val="single" w:color="auto" w:sz="4" w:space="0"/>
              <w:bottom w:val="single" w:color="auto" w:sz="4" w:space="0"/>
              <w:right w:val="single" w:color="auto" w:sz="4" w:space="0"/>
            </w:tcBorders>
            <w:vAlign w:val="center"/>
          </w:tcPr>
          <w:p w14:paraId="51D353B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磋商时间及地点</w:t>
            </w:r>
          </w:p>
        </w:tc>
        <w:tc>
          <w:tcPr>
            <w:tcW w:w="6210" w:type="dxa"/>
            <w:tcBorders>
              <w:top w:val="single" w:color="auto" w:sz="4" w:space="0"/>
              <w:left w:val="single" w:color="auto" w:sz="4" w:space="0"/>
              <w:bottom w:val="single" w:color="auto" w:sz="4" w:space="0"/>
              <w:right w:val="single" w:color="auto" w:sz="4" w:space="0"/>
            </w:tcBorders>
            <w:vAlign w:val="center"/>
          </w:tcPr>
          <w:p w14:paraId="3230DB1C">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zCs w:val="21"/>
                <w:highlight w:val="none"/>
              </w:rPr>
            </w:pPr>
            <w:r>
              <w:rPr>
                <w:rFonts w:hint="eastAsia" w:ascii="宋体" w:hAnsi="宋体" w:cs="宋体"/>
                <w:szCs w:val="21"/>
                <w:highlight w:val="none"/>
              </w:rPr>
              <w:t>时间：</w:t>
            </w:r>
            <w:r>
              <w:rPr>
                <w:rFonts w:hint="eastAsia" w:ascii="宋体" w:hAnsi="宋体" w:cs="宋体"/>
                <w:highlight w:val="none"/>
              </w:rPr>
              <w:t>2025年</w:t>
            </w:r>
            <w:r>
              <w:rPr>
                <w:rFonts w:hint="eastAsia" w:ascii="宋体" w:hAnsi="宋体" w:cs="宋体"/>
                <w:highlight w:val="none"/>
                <w:lang w:val="en-US" w:eastAsia="zh-CN"/>
              </w:rPr>
              <w:t>5</w:t>
            </w:r>
            <w:r>
              <w:rPr>
                <w:rFonts w:hint="eastAsia" w:ascii="宋体" w:hAnsi="宋体" w:cs="宋体"/>
                <w:highlight w:val="none"/>
              </w:rPr>
              <w:t>月</w:t>
            </w:r>
            <w:r>
              <w:rPr>
                <w:rFonts w:hint="eastAsia" w:ascii="宋体" w:hAnsi="宋体" w:cs="宋体"/>
                <w:highlight w:val="none"/>
                <w:lang w:val="en-US" w:eastAsia="zh-CN"/>
              </w:rPr>
              <w:t>23</w:t>
            </w:r>
            <w:r>
              <w:rPr>
                <w:rFonts w:hint="eastAsia" w:ascii="宋体" w:hAnsi="宋体" w:cs="宋体"/>
                <w:highlight w:val="none"/>
              </w:rPr>
              <w:t>日1</w:t>
            </w:r>
            <w:r>
              <w:rPr>
                <w:rFonts w:hint="eastAsia" w:ascii="宋体" w:hAnsi="宋体" w:cs="宋体"/>
                <w:highlight w:val="none"/>
                <w:lang w:val="en-US" w:eastAsia="zh-CN"/>
              </w:rPr>
              <w:t>4</w:t>
            </w:r>
            <w:r>
              <w:rPr>
                <w:rFonts w:hint="eastAsia" w:ascii="宋体" w:hAnsi="宋体" w:cs="宋体"/>
                <w:highlight w:val="none"/>
              </w:rPr>
              <w:t>:</w:t>
            </w:r>
            <w:r>
              <w:rPr>
                <w:rFonts w:hint="eastAsia" w:ascii="宋体" w:hAnsi="宋体" w:cs="宋体"/>
                <w:highlight w:val="none"/>
                <w:lang w:val="en-US" w:eastAsia="zh-CN"/>
              </w:rPr>
              <w:t>30</w:t>
            </w:r>
            <w:r>
              <w:rPr>
                <w:rFonts w:hint="eastAsia" w:ascii="宋体" w:hAnsi="宋体" w:cs="宋体"/>
                <w:szCs w:val="21"/>
                <w:highlight w:val="none"/>
              </w:rPr>
              <w:t>（北京时间）</w:t>
            </w:r>
          </w:p>
          <w:p w14:paraId="51BC608E">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zCs w:val="21"/>
                <w:highlight w:val="none"/>
              </w:rPr>
            </w:pPr>
            <w:r>
              <w:rPr>
                <w:rFonts w:hint="eastAsia" w:ascii="宋体" w:hAnsi="宋体" w:cs="宋体"/>
                <w:szCs w:val="21"/>
                <w:highlight w:val="none"/>
              </w:rPr>
              <w:t>地点：</w:t>
            </w:r>
            <w:r>
              <w:rPr>
                <w:rFonts w:hint="eastAsia" w:ascii="宋体" w:hAnsi="宋体" w:cs="宋体"/>
                <w:szCs w:val="21"/>
                <w:highlight w:val="none"/>
                <w:lang w:val="en-US" w:eastAsia="zh-CN"/>
              </w:rPr>
              <w:t>国有资本投资大厦6楼会议室</w:t>
            </w:r>
          </w:p>
        </w:tc>
      </w:tr>
      <w:tr w14:paraId="5C97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02A4260">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7</w:t>
            </w:r>
          </w:p>
        </w:tc>
        <w:tc>
          <w:tcPr>
            <w:tcW w:w="2055" w:type="dxa"/>
            <w:tcBorders>
              <w:top w:val="single" w:color="auto" w:sz="4" w:space="0"/>
              <w:left w:val="single" w:color="auto" w:sz="4" w:space="0"/>
              <w:bottom w:val="single" w:color="auto" w:sz="4" w:space="0"/>
              <w:right w:val="single" w:color="auto" w:sz="4" w:space="0"/>
            </w:tcBorders>
            <w:vAlign w:val="center"/>
          </w:tcPr>
          <w:p w14:paraId="59FA3865">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磋商保证金</w:t>
            </w:r>
          </w:p>
        </w:tc>
        <w:tc>
          <w:tcPr>
            <w:tcW w:w="6210" w:type="dxa"/>
            <w:tcBorders>
              <w:top w:val="single" w:color="auto" w:sz="4" w:space="0"/>
              <w:left w:val="single" w:color="auto" w:sz="4" w:space="0"/>
              <w:bottom w:val="single" w:color="auto" w:sz="4" w:space="0"/>
              <w:right w:val="single" w:color="auto" w:sz="4" w:space="0"/>
            </w:tcBorders>
            <w:vAlign w:val="center"/>
          </w:tcPr>
          <w:p w14:paraId="3A62943C">
            <w:pPr>
              <w:keepNext w:val="0"/>
              <w:keepLines w:val="0"/>
              <w:pageBreakBefore w:val="0"/>
              <w:widowControl w:val="0"/>
              <w:kinsoku/>
              <w:wordWrap/>
              <w:overflowPunct/>
              <w:topLinePunct w:val="0"/>
              <w:bidi w:val="0"/>
              <w:adjustRightInd w:val="0"/>
              <w:snapToGrid w:val="0"/>
              <w:spacing w:line="240" w:lineRule="auto"/>
              <w:ind w:right="-315" w:rightChars="-150"/>
              <w:textAlignment w:val="auto"/>
              <w:rPr>
                <w:rFonts w:ascii="宋体" w:hAnsi="宋体" w:cs="宋体"/>
                <w:szCs w:val="21"/>
              </w:rPr>
            </w:pPr>
            <w:r>
              <w:rPr>
                <w:rFonts w:hint="eastAsia" w:ascii="宋体" w:hAnsi="宋体" w:cs="宋体"/>
                <w:szCs w:val="21"/>
              </w:rPr>
              <w:t>不提交，但若投标人在投标过程中存在违规行为给采购人造成损失的，须赔偿全部损失。</w:t>
            </w:r>
          </w:p>
        </w:tc>
      </w:tr>
      <w:tr w14:paraId="00E1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DC5597B">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8</w:t>
            </w:r>
          </w:p>
        </w:tc>
        <w:tc>
          <w:tcPr>
            <w:tcW w:w="2055" w:type="dxa"/>
            <w:tcBorders>
              <w:top w:val="single" w:color="auto" w:sz="4" w:space="0"/>
              <w:left w:val="single" w:color="auto" w:sz="4" w:space="0"/>
              <w:bottom w:val="single" w:color="auto" w:sz="4" w:space="0"/>
              <w:right w:val="single" w:color="auto" w:sz="4" w:space="0"/>
            </w:tcBorders>
            <w:vAlign w:val="center"/>
          </w:tcPr>
          <w:p w14:paraId="20EBE6D8">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其他要求</w:t>
            </w:r>
          </w:p>
        </w:tc>
        <w:tc>
          <w:tcPr>
            <w:tcW w:w="6210" w:type="dxa"/>
            <w:tcBorders>
              <w:top w:val="single" w:color="auto" w:sz="4" w:space="0"/>
              <w:left w:val="single" w:color="auto" w:sz="4" w:space="0"/>
              <w:bottom w:val="single" w:color="auto" w:sz="4" w:space="0"/>
              <w:right w:val="single" w:color="auto" w:sz="4" w:space="0"/>
            </w:tcBorders>
            <w:vAlign w:val="center"/>
          </w:tcPr>
          <w:p w14:paraId="28E0213F">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宋体" w:hAnsi="宋体" w:eastAsia="宋体" w:cs="宋体"/>
                <w:szCs w:val="21"/>
                <w:lang w:val="en-US" w:eastAsia="zh-CN"/>
              </w:rPr>
            </w:pPr>
            <w:r>
              <w:rPr>
                <w:rFonts w:hint="eastAsia" w:ascii="宋体" w:hAnsi="宋体" w:cs="宋体"/>
                <w:szCs w:val="21"/>
              </w:rPr>
              <w:t>1、踏勘现场时间及地点：不组织</w:t>
            </w:r>
            <w:r>
              <w:rPr>
                <w:rFonts w:hint="eastAsia" w:ascii="宋体" w:hAnsi="宋体" w:cs="宋体"/>
                <w:szCs w:val="21"/>
                <w:lang w:eastAsia="zh-CN"/>
              </w:rPr>
              <w:t>；</w:t>
            </w:r>
            <w:r>
              <w:rPr>
                <w:rFonts w:hint="eastAsia" w:ascii="宋体" w:hAnsi="宋体" w:cs="宋体"/>
                <w:szCs w:val="21"/>
              </w:rPr>
              <w:t>2、样品：无要求；3、现场演示：</w:t>
            </w:r>
            <w:r>
              <w:rPr>
                <w:rFonts w:hint="eastAsia" w:ascii="宋体" w:hAnsi="宋体" w:cs="宋体"/>
                <w:bCs/>
                <w:kern w:val="0"/>
                <w:szCs w:val="21"/>
              </w:rPr>
              <w:t>无要求</w:t>
            </w:r>
            <w:r>
              <w:rPr>
                <w:rFonts w:hint="eastAsia" w:ascii="宋体" w:hAnsi="宋体" w:cs="宋体"/>
                <w:bCs/>
                <w:kern w:val="0"/>
                <w:szCs w:val="21"/>
                <w:lang w:eastAsia="zh-CN"/>
              </w:rPr>
              <w:t>；</w:t>
            </w:r>
          </w:p>
        </w:tc>
      </w:tr>
      <w:tr w14:paraId="6E34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3FC7BE4">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9</w:t>
            </w:r>
          </w:p>
        </w:tc>
        <w:tc>
          <w:tcPr>
            <w:tcW w:w="2055" w:type="dxa"/>
            <w:tcBorders>
              <w:top w:val="single" w:color="auto" w:sz="4" w:space="0"/>
              <w:left w:val="single" w:color="auto" w:sz="4" w:space="0"/>
              <w:bottom w:val="single" w:color="auto" w:sz="4" w:space="0"/>
              <w:right w:val="single" w:color="auto" w:sz="4" w:space="0"/>
            </w:tcBorders>
            <w:vAlign w:val="center"/>
          </w:tcPr>
          <w:p w14:paraId="07FB57C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szCs w:val="21"/>
                <w:lang w:val="zh-CN"/>
              </w:rPr>
            </w:pPr>
            <w:r>
              <w:rPr>
                <w:rFonts w:hint="eastAsia" w:ascii="宋体" w:hAnsi="宋体" w:cs="宋体"/>
                <w:szCs w:val="21"/>
                <w:lang w:val="zh-CN"/>
              </w:rPr>
              <w:t>实质性条款</w:t>
            </w:r>
          </w:p>
        </w:tc>
        <w:tc>
          <w:tcPr>
            <w:tcW w:w="6210" w:type="dxa"/>
            <w:tcBorders>
              <w:top w:val="single" w:color="auto" w:sz="4" w:space="0"/>
              <w:left w:val="single" w:color="auto" w:sz="4" w:space="0"/>
              <w:bottom w:val="single" w:color="auto" w:sz="4" w:space="0"/>
              <w:right w:val="single" w:color="auto" w:sz="4" w:space="0"/>
            </w:tcBorders>
            <w:vAlign w:val="center"/>
          </w:tcPr>
          <w:p w14:paraId="04930C5A">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kern w:val="0"/>
                <w:szCs w:val="21"/>
                <w:lang w:val="zh-CN"/>
              </w:rPr>
            </w:pPr>
            <w:r>
              <w:rPr>
                <w:rFonts w:hint="eastAsia" w:ascii="宋体" w:hAnsi="宋体" w:cs="宋体"/>
                <w:kern w:val="0"/>
                <w:szCs w:val="21"/>
                <w:lang w:val="zh-CN"/>
              </w:rPr>
              <w:t>带“</w:t>
            </w:r>
            <w:r>
              <w:rPr>
                <w:rFonts w:hint="eastAsia" w:ascii="宋体" w:hAnsi="宋体" w:cs="宋体"/>
                <w:bCs/>
                <w:szCs w:val="21"/>
              </w:rPr>
              <w:t>▲”的条款是实质性条款，磋商</w:t>
            </w:r>
            <w:r>
              <w:rPr>
                <w:rFonts w:hint="eastAsia" w:ascii="宋体" w:hAnsi="宋体" w:cs="宋体"/>
                <w:szCs w:val="21"/>
              </w:rPr>
              <w:t>响应</w:t>
            </w:r>
            <w:r>
              <w:rPr>
                <w:rFonts w:hint="eastAsia" w:ascii="宋体" w:hAnsi="宋体" w:cs="宋体"/>
                <w:bCs/>
                <w:szCs w:val="21"/>
              </w:rPr>
              <w:t>文件须作出实质性响应，否则终止磋商。</w:t>
            </w:r>
          </w:p>
        </w:tc>
      </w:tr>
      <w:tr w14:paraId="656A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C418D14">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10</w:t>
            </w:r>
          </w:p>
        </w:tc>
        <w:tc>
          <w:tcPr>
            <w:tcW w:w="2055" w:type="dxa"/>
            <w:tcBorders>
              <w:top w:val="single" w:color="auto" w:sz="4" w:space="0"/>
              <w:left w:val="single" w:color="auto" w:sz="4" w:space="0"/>
              <w:bottom w:val="single" w:color="auto" w:sz="4" w:space="0"/>
              <w:right w:val="single" w:color="auto" w:sz="4" w:space="0"/>
            </w:tcBorders>
            <w:vAlign w:val="center"/>
          </w:tcPr>
          <w:p w14:paraId="681345F0">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szCs w:val="21"/>
              </w:rPr>
            </w:pPr>
            <w:r>
              <w:rPr>
                <w:rFonts w:hint="eastAsia" w:ascii="宋体" w:hAnsi="宋体" w:cs="宋体"/>
                <w:szCs w:val="21"/>
              </w:rPr>
              <w:t>解释权</w:t>
            </w:r>
          </w:p>
        </w:tc>
        <w:tc>
          <w:tcPr>
            <w:tcW w:w="6210" w:type="dxa"/>
            <w:tcBorders>
              <w:top w:val="single" w:color="auto" w:sz="4" w:space="0"/>
              <w:left w:val="single" w:color="auto" w:sz="4" w:space="0"/>
              <w:bottom w:val="single" w:color="auto" w:sz="4" w:space="0"/>
              <w:right w:val="single" w:color="auto" w:sz="4" w:space="0"/>
            </w:tcBorders>
            <w:vAlign w:val="center"/>
          </w:tcPr>
          <w:p w14:paraId="709216F3">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zCs w:val="21"/>
              </w:rPr>
            </w:pPr>
            <w:r>
              <w:rPr>
                <w:rFonts w:hint="eastAsia" w:ascii="宋体" w:hAnsi="宋体" w:cs="宋体"/>
                <w:szCs w:val="21"/>
              </w:rPr>
              <w:t>本采购文件的解</w:t>
            </w:r>
            <w:r>
              <w:rPr>
                <w:rFonts w:hint="eastAsia" w:ascii="宋体" w:hAnsi="宋体" w:cs="宋体"/>
                <w:szCs w:val="21"/>
                <w:highlight w:val="none"/>
              </w:rPr>
              <w:t>释权属于</w:t>
            </w:r>
            <w:r>
              <w:rPr>
                <w:rFonts w:hint="eastAsia" w:ascii="宋体" w:hAnsi="宋体" w:cs="宋体"/>
                <w:b/>
                <w:szCs w:val="21"/>
                <w:highlight w:val="none"/>
                <w:lang w:val="en-US" w:eastAsia="zh-CN"/>
              </w:rPr>
              <w:t>杭州国宇物产管理有限公司</w:t>
            </w:r>
          </w:p>
        </w:tc>
      </w:tr>
    </w:tbl>
    <w:p w14:paraId="2A6796DD">
      <w:pPr>
        <w:spacing w:line="360" w:lineRule="auto"/>
        <w:rPr>
          <w:rFonts w:ascii="宋体" w:hAnsi="宋体" w:cs="宋体"/>
          <w:b/>
          <w:bCs/>
          <w:szCs w:val="21"/>
        </w:rPr>
      </w:pPr>
    </w:p>
    <w:p w14:paraId="091432B0">
      <w:pPr>
        <w:spacing w:line="360" w:lineRule="auto"/>
        <w:rPr>
          <w:rFonts w:ascii="宋体" w:hAnsi="宋体" w:cs="宋体"/>
          <w:b/>
          <w:bCs/>
          <w:szCs w:val="21"/>
        </w:rPr>
      </w:pPr>
    </w:p>
    <w:p w14:paraId="0D57F030">
      <w:pPr>
        <w:spacing w:line="360" w:lineRule="auto"/>
        <w:rPr>
          <w:rFonts w:ascii="宋体" w:hAnsi="宋体" w:cs="宋体"/>
          <w:b/>
          <w:bCs/>
          <w:szCs w:val="21"/>
        </w:rPr>
      </w:pPr>
      <w:r>
        <w:rPr>
          <w:rFonts w:hint="eastAsia" w:ascii="宋体" w:hAnsi="宋体" w:cs="宋体"/>
          <w:b/>
          <w:bCs/>
          <w:szCs w:val="21"/>
        </w:rPr>
        <w:t>一、总则</w:t>
      </w:r>
    </w:p>
    <w:p w14:paraId="78521746">
      <w:pPr>
        <w:spacing w:line="360" w:lineRule="auto"/>
        <w:ind w:firstLine="422" w:firstLineChars="200"/>
        <w:rPr>
          <w:rFonts w:ascii="宋体" w:hAnsi="宋体" w:cs="宋体"/>
          <w:b/>
          <w:bCs/>
          <w:szCs w:val="21"/>
        </w:rPr>
      </w:pPr>
      <w:r>
        <w:rPr>
          <w:rFonts w:hint="eastAsia" w:ascii="宋体" w:hAnsi="宋体" w:cs="宋体"/>
          <w:b/>
          <w:bCs/>
          <w:szCs w:val="21"/>
        </w:rPr>
        <w:t>（一） 适用范围</w:t>
      </w:r>
    </w:p>
    <w:p w14:paraId="4D962A51">
      <w:pPr>
        <w:spacing w:line="360" w:lineRule="auto"/>
        <w:ind w:firstLine="420" w:firstLineChars="200"/>
        <w:rPr>
          <w:rFonts w:ascii="宋体" w:hAnsi="宋体" w:cs="宋体"/>
          <w:szCs w:val="21"/>
        </w:rPr>
      </w:pPr>
      <w:r>
        <w:rPr>
          <w:rFonts w:hint="eastAsia" w:ascii="宋体" w:hAnsi="宋体" w:cs="宋体"/>
          <w:szCs w:val="21"/>
        </w:rPr>
        <w:t>本磋商文件适用于本次项目的磋商、评审、确定成交供应商、验收、合同履约、付款等行为（法律、法规另有规定的，从其规定）。</w:t>
      </w:r>
    </w:p>
    <w:p w14:paraId="332D294C">
      <w:pPr>
        <w:spacing w:line="360" w:lineRule="auto"/>
        <w:ind w:firstLine="422" w:firstLineChars="200"/>
        <w:rPr>
          <w:rFonts w:ascii="宋体" w:hAnsi="宋体" w:cs="宋体"/>
          <w:b/>
          <w:bCs/>
          <w:szCs w:val="21"/>
        </w:rPr>
      </w:pPr>
      <w:r>
        <w:rPr>
          <w:rFonts w:hint="eastAsia" w:ascii="宋体" w:hAnsi="宋体" w:cs="宋体"/>
          <w:b/>
          <w:bCs/>
          <w:szCs w:val="21"/>
        </w:rPr>
        <w:t>（二）定义</w:t>
      </w:r>
    </w:p>
    <w:p w14:paraId="498FB52B">
      <w:pPr>
        <w:tabs>
          <w:tab w:val="left" w:pos="0"/>
          <w:tab w:val="left" w:pos="851"/>
        </w:tabs>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zh-CN"/>
        </w:rPr>
        <w:t>“采购组织机构”指采购人委托组织磋商的集中采购机构或采购代理机构。</w:t>
      </w:r>
    </w:p>
    <w:p w14:paraId="69A39507">
      <w:pPr>
        <w:snapToGrid w:val="0"/>
        <w:spacing w:line="360" w:lineRule="auto"/>
        <w:ind w:firstLine="420" w:firstLineChars="200"/>
        <w:rPr>
          <w:rFonts w:ascii="宋体" w:hAnsi="宋体" w:cs="宋体"/>
          <w:szCs w:val="21"/>
        </w:rPr>
      </w:pPr>
      <w:r>
        <w:rPr>
          <w:rFonts w:hint="eastAsia" w:ascii="宋体" w:hAnsi="宋体" w:cs="宋体"/>
          <w:szCs w:val="21"/>
        </w:rPr>
        <w:t>2、采购人：是指委托</w:t>
      </w:r>
      <w:r>
        <w:rPr>
          <w:rFonts w:hint="eastAsia" w:ascii="宋体" w:hAnsi="宋体" w:cs="宋体"/>
          <w:szCs w:val="21"/>
          <w:lang w:val="zh-CN"/>
        </w:rPr>
        <w:t>集中采购机构或</w:t>
      </w:r>
      <w:r>
        <w:rPr>
          <w:rFonts w:hint="eastAsia" w:ascii="宋体" w:hAnsi="宋体" w:cs="宋体"/>
          <w:szCs w:val="21"/>
        </w:rPr>
        <w:t>采购代理机构采购本次项目的国家机关、事业单位和团体组织。</w:t>
      </w:r>
    </w:p>
    <w:p w14:paraId="04091B7F">
      <w:pPr>
        <w:snapToGrid w:val="0"/>
        <w:spacing w:line="360" w:lineRule="auto"/>
        <w:ind w:firstLine="420" w:firstLineChars="200"/>
        <w:jc w:val="left"/>
        <w:rPr>
          <w:rFonts w:ascii="宋体" w:hAnsi="宋体" w:cs="宋体"/>
          <w:szCs w:val="21"/>
        </w:rPr>
      </w:pPr>
      <w:r>
        <w:rPr>
          <w:rFonts w:hint="eastAsia" w:ascii="宋体" w:hAnsi="宋体" w:cs="宋体"/>
          <w:szCs w:val="21"/>
        </w:rPr>
        <w:t>3、磋商供应商：是指向</w:t>
      </w:r>
      <w:r>
        <w:rPr>
          <w:rFonts w:hint="eastAsia" w:ascii="宋体" w:hAnsi="宋体" w:cs="宋体"/>
          <w:szCs w:val="21"/>
          <w:lang w:val="zh-CN"/>
        </w:rPr>
        <w:t>采购组织机构</w:t>
      </w:r>
      <w:r>
        <w:rPr>
          <w:rFonts w:hint="eastAsia" w:ascii="宋体" w:hAnsi="宋体" w:cs="宋体"/>
          <w:szCs w:val="21"/>
        </w:rPr>
        <w:t>提交磋商响应文件的单位或个人。</w:t>
      </w:r>
    </w:p>
    <w:p w14:paraId="406D6170">
      <w:pPr>
        <w:snapToGrid w:val="0"/>
        <w:spacing w:line="360" w:lineRule="auto"/>
        <w:ind w:firstLine="420" w:firstLineChars="200"/>
        <w:jc w:val="left"/>
        <w:rPr>
          <w:rFonts w:ascii="宋体" w:hAnsi="宋体" w:cs="宋体"/>
          <w:szCs w:val="21"/>
        </w:rPr>
      </w:pPr>
      <w:r>
        <w:rPr>
          <w:rFonts w:hint="eastAsia" w:ascii="宋体" w:hAnsi="宋体" w:cs="宋体"/>
          <w:szCs w:val="21"/>
        </w:rPr>
        <w:t>4、货物：是指各种形态和种类的物品，包括原材料、燃料、设备、产品等。</w:t>
      </w:r>
    </w:p>
    <w:p w14:paraId="525B7A11">
      <w:pPr>
        <w:snapToGrid w:val="0"/>
        <w:spacing w:line="360" w:lineRule="auto"/>
        <w:ind w:firstLine="420" w:firstLineChars="200"/>
        <w:jc w:val="left"/>
        <w:rPr>
          <w:rFonts w:ascii="宋体" w:hAnsi="宋体" w:cs="宋体"/>
          <w:szCs w:val="21"/>
        </w:rPr>
      </w:pPr>
      <w:r>
        <w:rPr>
          <w:rFonts w:hint="eastAsia" w:ascii="宋体" w:hAnsi="宋体" w:cs="宋体"/>
          <w:szCs w:val="21"/>
        </w:rPr>
        <w:t>5、服务：是指除货物和工程以外的政府采购对象，包括各类专业服务、信息网络开发服务、金融保险服务、运输服务，以及维修与维护服务等。</w:t>
      </w:r>
    </w:p>
    <w:p w14:paraId="5D7FFFAC">
      <w:pPr>
        <w:snapToGrid w:val="0"/>
        <w:spacing w:line="360" w:lineRule="auto"/>
        <w:ind w:firstLine="420" w:firstLineChars="200"/>
        <w:jc w:val="left"/>
        <w:rPr>
          <w:rFonts w:ascii="宋体" w:hAnsi="宋体" w:cs="宋体"/>
          <w:szCs w:val="21"/>
        </w:rPr>
      </w:pPr>
      <w:r>
        <w:rPr>
          <w:rFonts w:hint="eastAsia" w:ascii="宋体" w:hAnsi="宋体" w:cs="宋体"/>
          <w:szCs w:val="21"/>
        </w:rPr>
        <w:t>6、“书面形式”包括信函、传真等。</w:t>
      </w:r>
    </w:p>
    <w:p w14:paraId="15DAE510">
      <w:pPr>
        <w:spacing w:line="360" w:lineRule="auto"/>
        <w:ind w:firstLine="420" w:firstLineChars="200"/>
        <w:rPr>
          <w:rFonts w:ascii="宋体" w:hAnsi="宋体" w:cs="宋体"/>
          <w:szCs w:val="21"/>
        </w:rPr>
      </w:pPr>
      <w:r>
        <w:rPr>
          <w:rFonts w:hint="eastAsia" w:ascii="宋体" w:hAnsi="宋体" w:cs="宋体"/>
          <w:szCs w:val="21"/>
        </w:rPr>
        <w:t>7、“▲”系指实质性要求条款。</w:t>
      </w:r>
    </w:p>
    <w:p w14:paraId="4FB1D6B3">
      <w:pPr>
        <w:spacing w:line="360" w:lineRule="auto"/>
        <w:ind w:firstLine="422" w:firstLineChars="200"/>
        <w:jc w:val="left"/>
        <w:rPr>
          <w:rFonts w:ascii="宋体" w:hAnsi="宋体" w:cs="宋体"/>
          <w:b/>
          <w:bCs/>
          <w:szCs w:val="21"/>
        </w:rPr>
      </w:pPr>
      <w:r>
        <w:rPr>
          <w:rFonts w:hint="eastAsia" w:ascii="宋体" w:hAnsi="宋体" w:cs="宋体"/>
          <w:b/>
          <w:bCs/>
          <w:szCs w:val="21"/>
        </w:rPr>
        <w:t>（三）磋商费用</w:t>
      </w:r>
    </w:p>
    <w:p w14:paraId="5CA0C708">
      <w:pPr>
        <w:snapToGrid w:val="0"/>
        <w:spacing w:line="360" w:lineRule="auto"/>
        <w:ind w:firstLine="420" w:firstLineChars="200"/>
        <w:jc w:val="left"/>
        <w:rPr>
          <w:rFonts w:ascii="宋体" w:hAnsi="宋体" w:cs="宋体"/>
          <w:szCs w:val="21"/>
        </w:rPr>
      </w:pPr>
      <w:r>
        <w:rPr>
          <w:rFonts w:hint="eastAsia" w:ascii="宋体" w:hAnsi="宋体" w:cs="宋体"/>
          <w:szCs w:val="21"/>
        </w:rPr>
        <w:t>不论磋商结果如何，供应商均应自行承担所有与磋商有关的全部费用（磋商文件有相关规定除外）。</w:t>
      </w:r>
    </w:p>
    <w:p w14:paraId="68699BFF">
      <w:pPr>
        <w:spacing w:line="360" w:lineRule="auto"/>
        <w:ind w:firstLine="422" w:firstLineChars="200"/>
        <w:jc w:val="left"/>
        <w:rPr>
          <w:rFonts w:ascii="宋体" w:hAnsi="宋体" w:cs="宋体"/>
          <w:b/>
          <w:bCs/>
          <w:szCs w:val="21"/>
        </w:rPr>
      </w:pPr>
      <w:r>
        <w:rPr>
          <w:rFonts w:hint="eastAsia" w:ascii="宋体" w:hAnsi="宋体" w:cs="宋体"/>
          <w:b/>
          <w:bCs/>
          <w:szCs w:val="21"/>
        </w:rPr>
        <w:t>（四）特别说明</w:t>
      </w:r>
    </w:p>
    <w:p w14:paraId="79DD1063">
      <w:pPr>
        <w:pStyle w:val="11"/>
        <w:snapToGrid w:val="0"/>
        <w:spacing w:line="360" w:lineRule="auto"/>
        <w:ind w:left="2" w:leftChars="1" w:firstLine="420" w:firstLineChars="200"/>
        <w:rPr>
          <w:rFonts w:hAnsi="宋体" w:cs="宋体"/>
          <w:szCs w:val="21"/>
        </w:rPr>
      </w:pPr>
      <w:r>
        <w:rPr>
          <w:rFonts w:hint="eastAsia" w:hAnsi="宋体" w:cs="宋体"/>
          <w:szCs w:val="21"/>
        </w:rPr>
        <w:t>1、供应商磋商所使用的资格、信誉、荣誉、业绩与企业认证必须为本法人所拥有。供应商磋商所使用的采购项目实施人员必须为本法人员工（指必须为本法人或控股公司正式员工）。</w:t>
      </w:r>
    </w:p>
    <w:p w14:paraId="56A7C00A">
      <w:pPr>
        <w:spacing w:line="360" w:lineRule="auto"/>
        <w:ind w:firstLine="420" w:firstLineChars="200"/>
        <w:rPr>
          <w:rFonts w:ascii="宋体" w:hAnsi="宋体" w:cs="宋体"/>
          <w:szCs w:val="21"/>
        </w:rPr>
      </w:pPr>
      <w:r>
        <w:rPr>
          <w:rFonts w:hint="eastAsia" w:ascii="宋体" w:hAnsi="宋体" w:cs="宋体"/>
          <w:szCs w:val="21"/>
        </w:rPr>
        <w:t>2、供应商所标产品除磋商文件中明确规定要求“提供官网截图或相应检测报告的证明材料”以外，所有技术参数描述均以磋商响应文件为准。</w:t>
      </w:r>
      <w:r>
        <w:rPr>
          <w:rFonts w:hint="eastAsia" w:ascii="宋体" w:hAnsi="宋体" w:cs="宋体"/>
          <w:b/>
          <w:bCs/>
          <w:szCs w:val="21"/>
        </w:rPr>
        <w:t>磋商供应商对所标产品技术参数的真实性承担法律责任。</w:t>
      </w:r>
      <w:r>
        <w:rPr>
          <w:rFonts w:hint="eastAsia" w:ascii="宋体" w:hAnsi="宋体" w:cs="宋体"/>
          <w:szCs w:val="21"/>
        </w:rPr>
        <w:t>项目磋商结束后、质疑期限内，如有质疑供应商认为成交供应商所标产品、磋商响应文件技术参数与采购需求存在重大偏离、错误、甚至造假的情况，应提供具体有效的证明材料。</w:t>
      </w:r>
    </w:p>
    <w:p w14:paraId="2F813179">
      <w:pPr>
        <w:pStyle w:val="55"/>
        <w:snapToGrid w:val="0"/>
        <w:spacing w:line="360" w:lineRule="auto"/>
        <w:ind w:firstLineChars="0"/>
        <w:rPr>
          <w:rFonts w:ascii="宋体" w:hAnsi="宋体" w:cs="宋体"/>
          <w:szCs w:val="21"/>
        </w:rPr>
      </w:pPr>
      <w:r>
        <w:rPr>
          <w:rFonts w:hint="eastAsia" w:ascii="宋体" w:hAnsi="宋体" w:cs="宋体"/>
          <w:szCs w:val="21"/>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A0D3A2C">
      <w:pPr>
        <w:pStyle w:val="55"/>
        <w:snapToGrid w:val="0"/>
        <w:spacing w:line="360" w:lineRule="auto"/>
        <w:ind w:firstLineChars="0"/>
        <w:rPr>
          <w:rFonts w:ascii="宋体" w:hAnsi="宋体" w:cs="宋体"/>
          <w:szCs w:val="21"/>
        </w:rPr>
      </w:pPr>
      <w:r>
        <w:rPr>
          <w:rFonts w:hint="eastAsia" w:ascii="宋体" w:hAnsi="宋体" w:cs="宋体"/>
          <w:szCs w:val="21"/>
        </w:rPr>
        <w:t>4、供应商不得相互串通磋商报价，不得妨碍其他供应商的公平竞争，不得损害采购人或其他供应商的合法权益，供应商不得以向采购人、磋商小组成员行贿或者采取其他不正当手段谋取成交。</w:t>
      </w:r>
    </w:p>
    <w:p w14:paraId="4BF7B3F2">
      <w:pPr>
        <w:pStyle w:val="55"/>
        <w:snapToGrid w:val="0"/>
        <w:spacing w:line="360" w:lineRule="auto"/>
        <w:ind w:firstLineChars="0"/>
        <w:rPr>
          <w:rFonts w:ascii="宋体" w:hAnsi="宋体" w:cs="宋体"/>
          <w:szCs w:val="21"/>
        </w:rPr>
      </w:pPr>
      <w:r>
        <w:rPr>
          <w:rFonts w:hint="eastAsia" w:ascii="宋体" w:hAnsi="宋体" w:cs="宋体"/>
          <w:szCs w:val="21"/>
        </w:rPr>
        <w:t>5、为采购项目提供整体设计、规范编制或者项目管理、监理、检测等服务的供应商，不得再参加该采购项目的其他采购活动。</w:t>
      </w:r>
    </w:p>
    <w:p w14:paraId="44CE10FA">
      <w:pPr>
        <w:pStyle w:val="55"/>
        <w:snapToGrid w:val="0"/>
        <w:spacing w:line="360" w:lineRule="auto"/>
        <w:ind w:firstLineChars="0"/>
        <w:rPr>
          <w:rFonts w:ascii="宋体" w:hAnsi="宋体" w:cs="宋体"/>
          <w:szCs w:val="21"/>
        </w:rPr>
      </w:pPr>
      <w:r>
        <w:rPr>
          <w:rFonts w:hint="eastAsia" w:ascii="宋体" w:hAnsi="宋体" w:cs="宋体"/>
          <w:szCs w:val="21"/>
        </w:rPr>
        <w:t>6、磋商响应文件格式中的表格式样可以根据项目差别做适当调整,但应当保持表格样式基本形态不变。</w:t>
      </w:r>
    </w:p>
    <w:p w14:paraId="50F05FC7">
      <w:pPr>
        <w:tabs>
          <w:tab w:val="left" w:pos="851"/>
        </w:tabs>
        <w:autoSpaceDE w:val="0"/>
        <w:autoSpaceDN w:val="0"/>
        <w:adjustRightInd w:val="0"/>
        <w:snapToGrid w:val="0"/>
        <w:spacing w:line="360" w:lineRule="auto"/>
        <w:ind w:firstLine="480"/>
        <w:rPr>
          <w:rFonts w:ascii="宋体" w:hAnsi="宋体" w:cs="宋体"/>
          <w:szCs w:val="21"/>
        </w:rPr>
      </w:pPr>
      <w:r>
        <w:rPr>
          <w:rFonts w:hint="eastAsia" w:ascii="宋体" w:hAnsi="宋体" w:cs="宋体"/>
          <w:szCs w:val="21"/>
        </w:rPr>
        <w:t>7、单位负责人为同一人或者存在直接控股、管理关系的不同供应商，不得参加同一合同项下的采购活动。</w:t>
      </w:r>
    </w:p>
    <w:p w14:paraId="04635BD0">
      <w:pPr>
        <w:tabs>
          <w:tab w:val="left" w:pos="851"/>
        </w:tabs>
        <w:autoSpaceDE w:val="0"/>
        <w:autoSpaceDN w:val="0"/>
        <w:adjustRightInd w:val="0"/>
        <w:snapToGrid w:val="0"/>
        <w:spacing w:line="360" w:lineRule="auto"/>
        <w:ind w:firstLine="480"/>
        <w:rPr>
          <w:rFonts w:ascii="宋体" w:hAnsi="宋体" w:cs="宋体"/>
          <w:szCs w:val="21"/>
        </w:rPr>
      </w:pPr>
      <w:r>
        <w:rPr>
          <w:rFonts w:hint="eastAsia" w:ascii="宋体" w:hAnsi="宋体" w:cs="宋体"/>
          <w:szCs w:val="21"/>
        </w:rPr>
        <w:t>8、本项目不允许分包。</w:t>
      </w:r>
    </w:p>
    <w:p w14:paraId="3E77B591">
      <w:pPr>
        <w:spacing w:line="360" w:lineRule="auto"/>
        <w:rPr>
          <w:rFonts w:ascii="宋体" w:hAnsi="宋体" w:cs="宋体"/>
          <w:b/>
          <w:bCs/>
          <w:szCs w:val="21"/>
        </w:rPr>
      </w:pPr>
      <w:r>
        <w:rPr>
          <w:rFonts w:hint="eastAsia" w:ascii="宋体" w:hAnsi="宋体" w:cs="宋体"/>
          <w:b/>
          <w:bCs/>
          <w:szCs w:val="21"/>
        </w:rPr>
        <w:t>二、磋商响应文件</w:t>
      </w:r>
    </w:p>
    <w:p w14:paraId="4B5E25E1">
      <w:pPr>
        <w:spacing w:line="360" w:lineRule="auto"/>
        <w:rPr>
          <w:rFonts w:ascii="宋体" w:hAnsi="宋体" w:cs="宋体"/>
          <w:b/>
          <w:bCs/>
          <w:szCs w:val="21"/>
        </w:rPr>
      </w:pPr>
      <w:r>
        <w:rPr>
          <w:rFonts w:hint="eastAsia" w:ascii="宋体" w:hAnsi="宋体" w:cs="宋体"/>
          <w:b/>
          <w:bCs/>
          <w:szCs w:val="21"/>
        </w:rPr>
        <w:t>（一）磋商响应文件的组成</w:t>
      </w:r>
    </w:p>
    <w:p w14:paraId="43A2AFD3">
      <w:pPr>
        <w:spacing w:line="360" w:lineRule="auto"/>
        <w:ind w:firstLine="420" w:firstLineChars="200"/>
        <w:rPr>
          <w:rFonts w:ascii="宋体" w:hAnsi="宋体" w:cs="宋体"/>
          <w:szCs w:val="21"/>
        </w:rPr>
      </w:pPr>
      <w:r>
        <w:rPr>
          <w:rFonts w:hint="eastAsia" w:ascii="宋体" w:hAnsi="宋体" w:cs="宋体"/>
          <w:szCs w:val="21"/>
        </w:rPr>
        <w:t>供应商应仔细阅读磋商采购文件的所有内容，按磋商采购文件的要求，详细编制磋商响应文件。</w:t>
      </w:r>
    </w:p>
    <w:p w14:paraId="59B9E667">
      <w:pPr>
        <w:snapToGrid w:val="0"/>
        <w:spacing w:line="360" w:lineRule="auto"/>
        <w:ind w:firstLine="422" w:firstLineChars="200"/>
        <w:rPr>
          <w:rFonts w:ascii="宋体" w:hAnsi="宋体" w:cs="宋体"/>
          <w:kern w:val="0"/>
          <w:szCs w:val="21"/>
        </w:rPr>
      </w:pPr>
      <w:r>
        <w:rPr>
          <w:rFonts w:hint="eastAsia" w:ascii="宋体" w:hAnsi="宋体" w:cs="宋体"/>
          <w:b/>
          <w:szCs w:val="21"/>
        </w:rPr>
        <w:t>▲1、资格证明</w:t>
      </w:r>
      <w:r>
        <w:rPr>
          <w:rFonts w:hint="eastAsia" w:ascii="宋体" w:hAnsi="宋体" w:cs="宋体"/>
          <w:b/>
          <w:szCs w:val="21"/>
          <w:lang w:val="en-US" w:eastAsia="zh-CN"/>
        </w:rPr>
        <w:t>部分</w:t>
      </w:r>
      <w:r>
        <w:rPr>
          <w:rFonts w:hint="eastAsia" w:ascii="宋体" w:hAnsi="宋体" w:cs="宋体"/>
          <w:b/>
          <w:szCs w:val="21"/>
        </w:rPr>
        <w:t>的组成：</w:t>
      </w:r>
    </w:p>
    <w:p w14:paraId="3C0DA5F5">
      <w:pPr>
        <w:pStyle w:val="17"/>
        <w:spacing w:line="360" w:lineRule="auto"/>
        <w:ind w:left="0" w:leftChars="0" w:firstLine="359" w:firstLineChars="171"/>
        <w:rPr>
          <w:rStyle w:val="28"/>
          <w:rFonts w:ascii="宋体" w:hAnsi="宋体" w:cs="宋体"/>
          <w:color w:val="auto"/>
          <w:szCs w:val="21"/>
          <w:u w:val="none"/>
        </w:rPr>
      </w:pPr>
      <w:r>
        <w:rPr>
          <w:rStyle w:val="28"/>
          <w:rFonts w:hint="eastAsia" w:ascii="宋体" w:hAnsi="宋体" w:cs="宋体"/>
          <w:color w:val="auto"/>
          <w:szCs w:val="21"/>
          <w:u w:val="none"/>
        </w:rPr>
        <w:t>（1）磋商声明书</w:t>
      </w:r>
    </w:p>
    <w:p w14:paraId="6B029D63">
      <w:pPr>
        <w:widowControl/>
        <w:spacing w:line="360" w:lineRule="auto"/>
        <w:ind w:left="0" w:leftChars="0" w:right="60" w:firstLine="359" w:firstLineChars="171"/>
        <w:jc w:val="left"/>
        <w:rPr>
          <w:rFonts w:ascii="宋体" w:hAnsi="宋体" w:cs="宋体"/>
          <w:szCs w:val="21"/>
        </w:rPr>
      </w:pPr>
      <w:r>
        <w:rPr>
          <w:rFonts w:hint="eastAsia" w:ascii="宋体" w:hAnsi="宋体" w:cs="宋体"/>
          <w:szCs w:val="21"/>
        </w:rPr>
        <w:t>（2）授权委托书（法定代表人亲自办理磋商响应事宜的，则无需提交)；</w:t>
      </w:r>
    </w:p>
    <w:p w14:paraId="4A1EDBC5">
      <w:pPr>
        <w:spacing w:line="360" w:lineRule="auto"/>
        <w:ind w:left="0" w:leftChars="0" w:firstLine="359" w:firstLineChars="171"/>
        <w:rPr>
          <w:rFonts w:ascii="宋体" w:hAnsi="宋体" w:cs="宋体"/>
          <w:szCs w:val="21"/>
        </w:rPr>
      </w:pPr>
      <w:r>
        <w:rPr>
          <w:rFonts w:hint="eastAsia" w:ascii="宋体" w:hAnsi="宋体" w:cs="宋体"/>
          <w:szCs w:val="21"/>
        </w:rPr>
        <w:t>（3）独立法人机构须提供营业执照复印件并加盖公章；分支机构须同时提供分支机构营业执照复印件并加盖公章、授权书复印件并加盖公章；</w:t>
      </w:r>
    </w:p>
    <w:p w14:paraId="0D5CD6F2">
      <w:pPr>
        <w:spacing w:line="360" w:lineRule="auto"/>
        <w:ind w:left="0" w:leftChars="0" w:firstLine="359" w:firstLineChars="171"/>
        <w:rPr>
          <w:rFonts w:hint="eastAsia" w:ascii="宋体" w:hAnsi="宋体" w:cs="宋体"/>
          <w:b w:val="0"/>
          <w:bCs/>
          <w:szCs w:val="21"/>
        </w:rPr>
      </w:pPr>
      <w:r>
        <w:rPr>
          <w:rFonts w:hint="eastAsia" w:ascii="宋体" w:hAnsi="宋体" w:cs="宋体"/>
          <w:szCs w:val="21"/>
        </w:rPr>
        <w:t>（4）</w:t>
      </w:r>
      <w:r>
        <w:rPr>
          <w:rFonts w:hint="eastAsia" w:ascii="宋体" w:hAnsi="宋体" w:cs="宋体"/>
          <w:b w:val="0"/>
          <w:bCs/>
          <w:szCs w:val="21"/>
        </w:rPr>
        <w:t>需具备具有中华人民共和国人力资源和社会保障部颁发的有效的《企业年金基金管理机构资格证书》或以《人力资源社会保障部关于企业年金基金管理机构资格延续的通告》中“延续12个企业年金基金法人受托机构资格”名单为准；</w:t>
      </w:r>
    </w:p>
    <w:p w14:paraId="226143D4">
      <w:pPr>
        <w:spacing w:line="360" w:lineRule="auto"/>
        <w:ind w:left="0" w:leftChars="0" w:firstLine="359" w:firstLineChars="171"/>
        <w:rPr>
          <w:rFonts w:ascii="宋体" w:hAnsi="宋体" w:cs="宋体"/>
        </w:rPr>
      </w:pPr>
      <w:r>
        <w:rPr>
          <w:rFonts w:hint="eastAsia" w:ascii="宋体" w:hAnsi="宋体" w:cs="宋体"/>
          <w:szCs w:val="21"/>
        </w:rPr>
        <w:t>（5）投标人未被列入失信被执行人名单、重大税收违法案件当事人名单，信用信息以信用中国网站（www.creditchina.gov.cn）公布为准。（须登录“信用中国”→“信用服务”→“失信被执行人、重大税收违法失信主体”进行查询并提供查询结果的截图并加盖公章；其中失信被执行人的查询条件中“省份”应选“全部”）。</w:t>
      </w:r>
      <w:r>
        <w:rPr>
          <w:rFonts w:hint="eastAsia" w:ascii="宋体" w:hAnsi="宋体" w:cs="宋体"/>
          <w:b/>
          <w:bCs/>
          <w:szCs w:val="21"/>
        </w:rPr>
        <w:t>注：提供的截图需体现网站名称，字迹清晰可辨。</w:t>
      </w:r>
    </w:p>
    <w:p w14:paraId="2578DB65">
      <w:pPr>
        <w:snapToGrid w:val="0"/>
        <w:spacing w:line="360" w:lineRule="auto"/>
        <w:ind w:left="0" w:leftChars="0" w:firstLine="542" w:firstLineChars="257"/>
        <w:rPr>
          <w:rFonts w:ascii="宋体" w:hAnsi="宋体" w:cs="宋体"/>
          <w:szCs w:val="21"/>
          <w:u w:val="single"/>
        </w:rPr>
      </w:pPr>
      <w:r>
        <w:rPr>
          <w:rFonts w:hint="eastAsia" w:ascii="宋体" w:hAnsi="宋体" w:cs="宋体"/>
          <w:b/>
          <w:szCs w:val="21"/>
        </w:rPr>
        <w:t>2、商务与技术</w:t>
      </w:r>
      <w:r>
        <w:rPr>
          <w:rFonts w:hint="eastAsia" w:ascii="宋体" w:hAnsi="宋体" w:cs="宋体"/>
          <w:b/>
          <w:szCs w:val="21"/>
          <w:lang w:val="en-US" w:eastAsia="zh-CN"/>
        </w:rPr>
        <w:t>部分</w:t>
      </w:r>
      <w:r>
        <w:rPr>
          <w:rFonts w:hint="eastAsia" w:ascii="宋体" w:hAnsi="宋体" w:cs="宋体"/>
          <w:b/>
          <w:szCs w:val="21"/>
        </w:rPr>
        <w:t>的组成：</w:t>
      </w:r>
    </w:p>
    <w:p w14:paraId="2B58298A">
      <w:pPr>
        <w:pStyle w:val="17"/>
        <w:spacing w:line="360" w:lineRule="auto"/>
        <w:ind w:left="0" w:leftChars="0" w:firstLine="359" w:firstLineChars="171"/>
        <w:rPr>
          <w:rStyle w:val="28"/>
          <w:rFonts w:hint="eastAsia" w:ascii="宋体" w:hAnsi="宋体" w:cs="宋体"/>
          <w:color w:val="auto"/>
          <w:szCs w:val="21"/>
          <w:u w:val="none"/>
          <w:lang w:val="en-US" w:eastAsia="zh-CN"/>
        </w:rPr>
      </w:pPr>
      <w:r>
        <w:rPr>
          <w:rStyle w:val="28"/>
          <w:rFonts w:hint="eastAsia" w:ascii="宋体" w:hAnsi="宋体" w:cs="宋体"/>
          <w:color w:val="auto"/>
          <w:szCs w:val="21"/>
          <w:u w:val="none"/>
        </w:rPr>
        <w:t>（1）评标索引及应标综述</w:t>
      </w:r>
      <w:r>
        <w:rPr>
          <w:rStyle w:val="28"/>
          <w:rFonts w:hint="eastAsia" w:ascii="宋体" w:hAnsi="宋体" w:cs="宋体"/>
          <w:color w:val="auto"/>
          <w:szCs w:val="21"/>
          <w:u w:val="none"/>
          <w:lang w:eastAsia="zh-CN"/>
        </w:rPr>
        <w:t>（</w:t>
      </w:r>
      <w:r>
        <w:rPr>
          <w:rStyle w:val="28"/>
          <w:rFonts w:hint="eastAsia" w:ascii="宋体" w:hAnsi="宋体" w:cs="宋体"/>
          <w:color w:val="auto"/>
          <w:szCs w:val="21"/>
          <w:u w:val="none"/>
          <w:lang w:val="en-US" w:eastAsia="zh-CN"/>
        </w:rPr>
        <w:t>格式见附件4）；</w:t>
      </w:r>
    </w:p>
    <w:p w14:paraId="4D070B39">
      <w:pPr>
        <w:pStyle w:val="5"/>
        <w:widowControl/>
        <w:adjustRightInd w:val="0"/>
        <w:snapToGrid w:val="0"/>
        <w:spacing w:line="360" w:lineRule="auto"/>
        <w:ind w:left="0" w:leftChars="0" w:firstLine="359" w:firstLineChars="171"/>
        <w:rPr>
          <w:rFonts w:ascii="宋体" w:hAnsi="宋体" w:cs="宋体"/>
          <w:szCs w:val="21"/>
        </w:rPr>
      </w:pPr>
      <w:r>
        <w:rPr>
          <w:rStyle w:val="28"/>
          <w:rFonts w:hint="eastAsia" w:ascii="宋体" w:hAnsi="宋体" w:cs="宋体"/>
          <w:color w:val="auto"/>
          <w:szCs w:val="21"/>
          <w:u w:val="none"/>
        </w:rPr>
        <w:t>（</w:t>
      </w:r>
      <w:r>
        <w:rPr>
          <w:rStyle w:val="28"/>
          <w:rFonts w:hint="default" w:ascii="宋体" w:hAnsi="宋体" w:cs="宋体"/>
          <w:color w:val="auto"/>
          <w:szCs w:val="21"/>
          <w:u w:val="none"/>
          <w:lang w:val="en-US"/>
        </w:rPr>
        <w:t>2</w:t>
      </w:r>
      <w:r>
        <w:rPr>
          <w:rStyle w:val="28"/>
          <w:rFonts w:hint="eastAsia" w:ascii="宋体" w:hAnsi="宋体" w:cs="宋体"/>
          <w:color w:val="auto"/>
          <w:szCs w:val="21"/>
          <w:u w:val="none"/>
        </w:rPr>
        <w:t>）</w:t>
      </w:r>
      <w:r>
        <w:rPr>
          <w:rFonts w:hint="eastAsia" w:ascii="宋体" w:hAnsi="宋体" w:cs="宋体"/>
          <w:szCs w:val="21"/>
        </w:rPr>
        <w:t>根据评分项目中各项评分因子编写技术文件或投标机构认为有必要的其他相关</w:t>
      </w:r>
      <w:r>
        <w:rPr>
          <w:rFonts w:hint="eastAsia" w:ascii="宋体" w:hAnsi="宋体" w:cs="宋体"/>
          <w:szCs w:val="21"/>
          <w:lang w:val="en-US" w:eastAsia="zh-CN"/>
        </w:rPr>
        <w:t>材料</w:t>
      </w:r>
      <w:r>
        <w:rPr>
          <w:rFonts w:hint="eastAsia" w:ascii="宋体" w:hAnsi="宋体" w:cs="宋体"/>
          <w:szCs w:val="21"/>
        </w:rPr>
        <w:t>。</w:t>
      </w:r>
    </w:p>
    <w:p w14:paraId="153B6651">
      <w:pPr>
        <w:autoSpaceDE w:val="0"/>
        <w:autoSpaceDN w:val="0"/>
        <w:adjustRightInd w:val="0"/>
        <w:spacing w:line="360" w:lineRule="auto"/>
        <w:ind w:left="426" w:leftChars="0" w:firstLine="114" w:firstLineChars="54"/>
        <w:rPr>
          <w:rFonts w:ascii="宋体" w:hAnsi="宋体" w:cs="宋体"/>
          <w:b/>
          <w:kern w:val="0"/>
          <w:szCs w:val="21"/>
        </w:rPr>
      </w:pPr>
      <w:r>
        <w:rPr>
          <w:rFonts w:hint="eastAsia" w:ascii="宋体" w:hAnsi="宋体" w:cs="宋体"/>
          <w:b/>
          <w:kern w:val="0"/>
          <w:szCs w:val="21"/>
        </w:rPr>
        <w:t>3、报价</w:t>
      </w:r>
      <w:r>
        <w:rPr>
          <w:rFonts w:hint="eastAsia" w:ascii="宋体" w:hAnsi="宋体" w:cs="宋体"/>
          <w:b/>
          <w:kern w:val="0"/>
          <w:szCs w:val="21"/>
          <w:lang w:val="en-US" w:eastAsia="zh-CN"/>
        </w:rPr>
        <w:t>部分</w:t>
      </w:r>
      <w:r>
        <w:rPr>
          <w:rFonts w:hint="eastAsia" w:ascii="宋体" w:hAnsi="宋体" w:cs="宋体"/>
          <w:b/>
          <w:kern w:val="0"/>
          <w:szCs w:val="21"/>
        </w:rPr>
        <w:t>的组成</w:t>
      </w:r>
    </w:p>
    <w:p w14:paraId="0B54E77D">
      <w:pPr>
        <w:pStyle w:val="17"/>
        <w:spacing w:line="360" w:lineRule="auto"/>
        <w:ind w:left="0" w:leftChars="0" w:firstLine="359" w:firstLineChars="171"/>
        <w:rPr>
          <w:rFonts w:ascii="宋体" w:hAnsi="宋体" w:cs="宋体"/>
          <w:kern w:val="0"/>
          <w:szCs w:val="21"/>
        </w:rPr>
      </w:pPr>
      <w:r>
        <w:rPr>
          <w:rFonts w:hint="eastAsia" w:ascii="宋体" w:hAnsi="宋体" w:cs="宋体"/>
          <w:kern w:val="0"/>
          <w:szCs w:val="21"/>
        </w:rPr>
        <w:t>（1）报价内容由开标一览表以及供应商认为其他需要说明的内容组成。</w:t>
      </w:r>
    </w:p>
    <w:p w14:paraId="1C11FE1E">
      <w:pPr>
        <w:autoSpaceDE w:val="0"/>
        <w:autoSpaceDN w:val="0"/>
        <w:adjustRightInd w:val="0"/>
        <w:spacing w:line="360" w:lineRule="auto"/>
        <w:ind w:left="0" w:leftChars="0" w:firstLine="359" w:firstLineChars="171"/>
        <w:rPr>
          <w:rFonts w:ascii="宋体" w:hAnsi="宋体" w:cs="宋体"/>
          <w:kern w:val="0"/>
          <w:szCs w:val="21"/>
        </w:rPr>
      </w:pPr>
      <w:r>
        <w:rPr>
          <w:rFonts w:hint="eastAsia" w:ascii="宋体" w:hAnsi="宋体" w:cs="宋体"/>
          <w:kern w:val="0"/>
          <w:szCs w:val="21"/>
        </w:rPr>
        <w:t>（2）此报价为供应商针对本项目报出的唯一的首次报价，包含其它一切所要涉及到的费用，有选择的报价将被拒绝。</w:t>
      </w:r>
    </w:p>
    <w:p w14:paraId="1E67B6F2">
      <w:pPr>
        <w:spacing w:line="360" w:lineRule="auto"/>
        <w:ind w:left="0" w:leftChars="0" w:firstLine="359" w:firstLineChars="171"/>
        <w:rPr>
          <w:rFonts w:ascii="宋体" w:hAnsi="宋体" w:cs="宋体"/>
          <w:szCs w:val="21"/>
        </w:rPr>
      </w:pPr>
      <w:r>
        <w:rPr>
          <w:rFonts w:hint="eastAsia" w:ascii="宋体" w:hAnsi="宋体" w:cs="宋体"/>
          <w:szCs w:val="21"/>
        </w:rPr>
        <w:t>（3）投标报价应当包括利润、规费、税金、政策性文件规定及合同包含的所有风险、责任等所有费用。</w:t>
      </w:r>
    </w:p>
    <w:p w14:paraId="22C5F44F">
      <w:pPr>
        <w:autoSpaceDE w:val="0"/>
        <w:autoSpaceDN w:val="0"/>
        <w:adjustRightInd w:val="0"/>
        <w:spacing w:line="360" w:lineRule="auto"/>
        <w:ind w:left="0" w:leftChars="0" w:firstLine="359" w:firstLineChars="171"/>
        <w:rPr>
          <w:rFonts w:ascii="宋体" w:hAnsi="宋体" w:cs="宋体"/>
          <w:kern w:val="0"/>
          <w:szCs w:val="21"/>
        </w:rPr>
      </w:pPr>
      <w:r>
        <w:rPr>
          <w:rFonts w:hint="eastAsia" w:ascii="宋体" w:hAnsi="宋体" w:cs="宋体"/>
          <w:kern w:val="0"/>
          <w:szCs w:val="21"/>
        </w:rPr>
        <w:t>（4）相关报价表需打印或用不退色的墨水填写， 磋商响应报价表不得涂改和增删，如有错漏必须修改，修改处须由同一签署人签字或盖章。由于字迹模糊或表达不清引起的后果由供应商负责。</w:t>
      </w:r>
    </w:p>
    <w:p w14:paraId="1679D0BE">
      <w:pPr>
        <w:snapToGrid w:val="0"/>
        <w:spacing w:line="360" w:lineRule="auto"/>
        <w:ind w:left="0" w:leftChars="0" w:firstLine="359" w:firstLineChars="171"/>
        <w:rPr>
          <w:rFonts w:ascii="宋体" w:hAnsi="宋体" w:cs="宋体"/>
          <w:szCs w:val="21"/>
        </w:rPr>
      </w:pPr>
      <w:r>
        <w:rPr>
          <w:rFonts w:hint="eastAsia" w:ascii="宋体" w:hAnsi="宋体" w:cs="宋体"/>
          <w:szCs w:val="21"/>
        </w:rPr>
        <w:t>（5）报价有关表格应按磋商采购文件中相关附表格式填写。</w:t>
      </w:r>
    </w:p>
    <w:p w14:paraId="2BDBC328">
      <w:pPr>
        <w:pStyle w:val="57"/>
        <w:spacing w:line="360" w:lineRule="auto"/>
        <w:ind w:left="0" w:leftChars="0" w:firstLine="359" w:firstLineChars="171"/>
        <w:rPr>
          <w:rFonts w:ascii="宋体" w:hAnsi="宋体" w:cs="宋体"/>
          <w:sz w:val="21"/>
          <w:szCs w:val="21"/>
        </w:rPr>
      </w:pPr>
      <w:r>
        <w:rPr>
          <w:rFonts w:hint="eastAsia" w:ascii="宋体" w:hAnsi="宋体" w:cs="宋体"/>
          <w:sz w:val="21"/>
          <w:szCs w:val="21"/>
        </w:rPr>
        <w:t>（6）最后的磋商报价低于首次报价，除磋商内容发生实质性变更，其报价明细表（如有）中各项报价需另行明确以外，各项报价均按比例下调。</w:t>
      </w:r>
    </w:p>
    <w:p w14:paraId="6D8726EA">
      <w:pPr>
        <w:pStyle w:val="7"/>
        <w:rPr>
          <w:rFonts w:ascii="宋体" w:hAnsi="宋体" w:cs="宋体"/>
          <w:lang w:val="zh-CN"/>
        </w:rPr>
      </w:pPr>
    </w:p>
    <w:p w14:paraId="7825E7B1">
      <w:pPr>
        <w:numPr>
          <w:ilvl w:val="0"/>
          <w:numId w:val="2"/>
        </w:numPr>
        <w:snapToGrid w:val="0"/>
        <w:spacing w:line="360" w:lineRule="auto"/>
        <w:rPr>
          <w:rFonts w:ascii="宋体" w:hAnsi="宋体" w:cs="宋体"/>
          <w:szCs w:val="21"/>
          <w:lang w:val="zh-CN"/>
        </w:rPr>
      </w:pPr>
      <w:r>
        <w:rPr>
          <w:rFonts w:hint="eastAsia" w:ascii="宋体" w:hAnsi="宋体" w:cs="宋体"/>
          <w:b/>
          <w:bCs/>
          <w:kern w:val="0"/>
          <w:szCs w:val="21"/>
        </w:rPr>
        <w:t>磋商响应文件的制作、封装及递交要求</w:t>
      </w:r>
    </w:p>
    <w:p w14:paraId="0D50F241">
      <w:pPr>
        <w:autoSpaceDE w:val="0"/>
        <w:autoSpaceDN w:val="0"/>
        <w:adjustRightInd w:val="0"/>
        <w:spacing w:line="360" w:lineRule="auto"/>
        <w:ind w:left="0" w:leftChars="0" w:firstLine="361" w:firstLineChars="171"/>
        <w:rPr>
          <w:rFonts w:ascii="宋体" w:hAnsi="宋体" w:cs="宋体"/>
          <w:b/>
          <w:szCs w:val="21"/>
        </w:rPr>
      </w:pPr>
      <w:r>
        <w:rPr>
          <w:rFonts w:hint="eastAsia" w:ascii="宋体" w:hAnsi="宋体" w:cs="宋体"/>
          <w:b/>
          <w:szCs w:val="21"/>
        </w:rPr>
        <w:t>1、磋商响应文件的制作要求</w:t>
      </w:r>
    </w:p>
    <w:p w14:paraId="7BFAACA1">
      <w:pPr>
        <w:autoSpaceDE w:val="0"/>
        <w:autoSpaceDN w:val="0"/>
        <w:adjustRightInd w:val="0"/>
        <w:spacing w:line="360" w:lineRule="auto"/>
        <w:ind w:left="0" w:leftChars="0" w:firstLine="359" w:firstLineChars="171"/>
        <w:rPr>
          <w:rFonts w:ascii="宋体" w:hAnsi="宋体" w:cs="宋体"/>
          <w:kern w:val="0"/>
          <w:szCs w:val="21"/>
        </w:rPr>
      </w:pPr>
      <w:r>
        <w:rPr>
          <w:rFonts w:hint="eastAsia" w:ascii="宋体" w:hAnsi="宋体" w:cs="宋体"/>
          <w:szCs w:val="21"/>
        </w:rPr>
        <w:t>（1）供应商应按照磋商响应文件组成内容及项目磋商需求制作磋商响应文件，</w:t>
      </w:r>
      <w:r>
        <w:rPr>
          <w:rFonts w:hint="eastAsia" w:ascii="宋体" w:hAnsi="宋体" w:cs="宋体"/>
          <w:kern w:val="0"/>
          <w:szCs w:val="21"/>
        </w:rPr>
        <w:t>不按</w:t>
      </w:r>
      <w:r>
        <w:rPr>
          <w:rFonts w:hint="eastAsia" w:ascii="宋体" w:hAnsi="宋体" w:cs="宋体"/>
          <w:bCs/>
          <w:szCs w:val="21"/>
        </w:rPr>
        <w:t>磋商采购文件</w:t>
      </w:r>
      <w:r>
        <w:rPr>
          <w:rFonts w:hint="eastAsia" w:ascii="宋体" w:hAnsi="宋体" w:cs="宋体"/>
          <w:kern w:val="0"/>
          <w:szCs w:val="21"/>
        </w:rPr>
        <w:t>要求制作</w:t>
      </w:r>
      <w:r>
        <w:rPr>
          <w:rFonts w:hint="eastAsia" w:ascii="宋体" w:hAnsi="宋体" w:cs="宋体"/>
          <w:szCs w:val="21"/>
        </w:rPr>
        <w:t>磋商响应文件</w:t>
      </w:r>
      <w:r>
        <w:rPr>
          <w:rFonts w:hint="eastAsia" w:ascii="宋体" w:hAnsi="宋体" w:cs="宋体"/>
          <w:kern w:val="0"/>
          <w:szCs w:val="21"/>
        </w:rPr>
        <w:t>的将视情处理（拒收、扣分等），由此产生的责任由</w:t>
      </w:r>
      <w:r>
        <w:rPr>
          <w:rFonts w:hint="eastAsia" w:ascii="宋体" w:hAnsi="宋体" w:cs="宋体"/>
          <w:szCs w:val="21"/>
        </w:rPr>
        <w:t>磋商供应商</w:t>
      </w:r>
      <w:r>
        <w:rPr>
          <w:rFonts w:hint="eastAsia" w:ascii="宋体" w:hAnsi="宋体" w:cs="宋体"/>
          <w:kern w:val="0"/>
          <w:szCs w:val="21"/>
        </w:rPr>
        <w:t>自行承担。</w:t>
      </w:r>
    </w:p>
    <w:p w14:paraId="33729AEE">
      <w:pPr>
        <w:autoSpaceDE w:val="0"/>
        <w:autoSpaceDN w:val="0"/>
        <w:adjustRightInd w:val="0"/>
        <w:spacing w:line="360" w:lineRule="auto"/>
        <w:ind w:left="0" w:leftChars="0" w:firstLine="359" w:firstLineChars="171"/>
        <w:rPr>
          <w:rFonts w:ascii="宋体" w:hAnsi="宋体" w:cs="宋体"/>
          <w:szCs w:val="21"/>
        </w:rPr>
      </w:pPr>
      <w:r>
        <w:rPr>
          <w:rFonts w:hint="eastAsia" w:ascii="宋体" w:hAnsi="宋体" w:cs="宋体"/>
          <w:szCs w:val="21"/>
        </w:rPr>
        <w:t>（2）供应商应对所提供的全部资料的真实性承担法律责任，磋商响应文件</w:t>
      </w:r>
      <w:r>
        <w:rPr>
          <w:rFonts w:hint="eastAsia" w:ascii="宋体" w:hAnsi="宋体" w:cs="宋体"/>
          <w:kern w:val="0"/>
          <w:szCs w:val="21"/>
          <w:lang w:val="zh-CN"/>
        </w:rPr>
        <w:t>内容中有要求盖章或签字的地方，必须加盖</w:t>
      </w:r>
      <w:r>
        <w:rPr>
          <w:rFonts w:hint="eastAsia" w:ascii="宋体" w:hAnsi="宋体" w:cs="宋体"/>
          <w:szCs w:val="21"/>
        </w:rPr>
        <w:t>磋商供应商</w:t>
      </w:r>
      <w:r>
        <w:rPr>
          <w:rFonts w:hint="eastAsia" w:ascii="宋体" w:hAnsi="宋体" w:cs="宋体"/>
          <w:kern w:val="0"/>
          <w:szCs w:val="21"/>
          <w:lang w:val="zh-CN"/>
        </w:rPr>
        <w:t>的公章以及法定代表人或全权代表的盖章或签字，其中</w:t>
      </w:r>
      <w:r>
        <w:rPr>
          <w:rFonts w:hint="eastAsia" w:ascii="宋体" w:hAnsi="宋体" w:cs="宋体"/>
          <w:szCs w:val="21"/>
        </w:rPr>
        <w:t>所有证书类文件提供的复印件</w:t>
      </w:r>
      <w:r>
        <w:rPr>
          <w:rFonts w:hint="eastAsia" w:ascii="宋体" w:hAnsi="宋体" w:cs="宋体"/>
          <w:kern w:val="0"/>
          <w:szCs w:val="21"/>
        </w:rPr>
        <w:t>必须全部加盖单位公章且</w:t>
      </w:r>
      <w:r>
        <w:rPr>
          <w:rFonts w:hint="eastAsia" w:ascii="宋体" w:hAnsi="宋体" w:cs="宋体"/>
          <w:szCs w:val="21"/>
        </w:rPr>
        <w:t>必须在有效期内的。</w:t>
      </w:r>
    </w:p>
    <w:p w14:paraId="4BAD0F4C">
      <w:pPr>
        <w:autoSpaceDE w:val="0"/>
        <w:autoSpaceDN w:val="0"/>
        <w:adjustRightInd w:val="0"/>
        <w:spacing w:line="360" w:lineRule="auto"/>
        <w:ind w:left="0" w:leftChars="0" w:firstLine="359" w:firstLineChars="171"/>
        <w:rPr>
          <w:rFonts w:ascii="宋体" w:hAnsi="宋体" w:cs="宋体"/>
          <w:szCs w:val="21"/>
        </w:rPr>
      </w:pPr>
      <w:r>
        <w:rPr>
          <w:rFonts w:hint="eastAsia" w:ascii="宋体" w:hAnsi="宋体" w:cs="宋体"/>
          <w:kern w:val="0"/>
          <w:szCs w:val="21"/>
          <w:lang w:val="zh-CN"/>
        </w:rPr>
        <w:t>（</w:t>
      </w:r>
      <w:r>
        <w:rPr>
          <w:rFonts w:hint="eastAsia" w:ascii="宋体" w:hAnsi="宋体" w:cs="宋体"/>
          <w:kern w:val="0"/>
          <w:szCs w:val="21"/>
        </w:rPr>
        <w:t>3</w:t>
      </w:r>
      <w:r>
        <w:rPr>
          <w:rFonts w:hint="eastAsia" w:ascii="宋体" w:hAnsi="宋体" w:cs="宋体"/>
          <w:kern w:val="0"/>
          <w:szCs w:val="21"/>
          <w:lang w:val="zh-CN"/>
        </w:rPr>
        <w:t>）</w:t>
      </w:r>
      <w:r>
        <w:rPr>
          <w:rFonts w:hint="eastAsia" w:ascii="宋体" w:hAnsi="宋体" w:cs="宋体"/>
          <w:szCs w:val="21"/>
        </w:rPr>
        <w:t>磋商响应文件以及磋商供应商与采购组织机构就有关磋商事宜的所有来往函电，均应以中文汉语书写。除签字、盖章、专用名称等特殊情形外，以中文汉语以外的文字表述的磋商响应文件视同未提供。</w:t>
      </w:r>
    </w:p>
    <w:p w14:paraId="3C5A5A30">
      <w:pPr>
        <w:autoSpaceDE w:val="0"/>
        <w:autoSpaceDN w:val="0"/>
        <w:adjustRightInd w:val="0"/>
        <w:spacing w:line="360" w:lineRule="auto"/>
        <w:ind w:left="0" w:leftChars="0" w:firstLine="359" w:firstLineChars="171"/>
        <w:rPr>
          <w:rFonts w:ascii="宋体" w:hAnsi="宋体" w:cs="宋体"/>
          <w:szCs w:val="21"/>
        </w:rPr>
      </w:pPr>
      <w:r>
        <w:rPr>
          <w:rFonts w:hint="eastAsia" w:ascii="宋体" w:hAnsi="宋体" w:cs="宋体"/>
          <w:szCs w:val="21"/>
        </w:rPr>
        <w:t>（4）磋商计量单位，</w:t>
      </w:r>
      <w:r>
        <w:rPr>
          <w:rFonts w:hint="eastAsia" w:ascii="宋体" w:hAnsi="宋体" w:cs="宋体"/>
          <w:bCs/>
          <w:szCs w:val="21"/>
        </w:rPr>
        <w:t>磋商采购文件</w:t>
      </w:r>
      <w:r>
        <w:rPr>
          <w:rFonts w:hint="eastAsia" w:ascii="宋体" w:hAnsi="宋体" w:cs="宋体"/>
          <w:szCs w:val="21"/>
        </w:rPr>
        <w:t>已有明确规定的，使用</w:t>
      </w:r>
      <w:r>
        <w:rPr>
          <w:rFonts w:hint="eastAsia" w:ascii="宋体" w:hAnsi="宋体" w:cs="宋体"/>
          <w:bCs/>
          <w:szCs w:val="21"/>
        </w:rPr>
        <w:t>磋商采购文件</w:t>
      </w:r>
      <w:r>
        <w:rPr>
          <w:rFonts w:hint="eastAsia" w:ascii="宋体" w:hAnsi="宋体" w:cs="宋体"/>
          <w:szCs w:val="21"/>
        </w:rPr>
        <w:t>规定的计量单位；</w:t>
      </w:r>
      <w:r>
        <w:rPr>
          <w:rFonts w:hint="eastAsia" w:ascii="宋体" w:hAnsi="宋体" w:cs="宋体"/>
          <w:bCs/>
          <w:szCs w:val="21"/>
        </w:rPr>
        <w:t>磋商采购文件</w:t>
      </w:r>
      <w:r>
        <w:rPr>
          <w:rFonts w:hint="eastAsia" w:ascii="宋体" w:hAnsi="宋体" w:cs="宋体"/>
          <w:szCs w:val="21"/>
        </w:rPr>
        <w:t>没有规定的，应采用中华人民共和国法定计量单位（货币单位：人民币元），否则视同未响应。</w:t>
      </w:r>
    </w:p>
    <w:p w14:paraId="098C02D7">
      <w:pPr>
        <w:autoSpaceDE w:val="0"/>
        <w:autoSpaceDN w:val="0"/>
        <w:adjustRightInd w:val="0"/>
        <w:spacing w:line="360" w:lineRule="auto"/>
        <w:ind w:left="0" w:leftChars="0" w:firstLine="359" w:firstLineChars="171"/>
        <w:rPr>
          <w:rFonts w:ascii="宋体" w:hAnsi="宋体" w:cs="宋体"/>
          <w:szCs w:val="21"/>
        </w:rPr>
      </w:pPr>
      <w:r>
        <w:rPr>
          <w:rFonts w:hint="eastAsia" w:ascii="宋体" w:hAnsi="宋体" w:cs="宋体"/>
          <w:szCs w:val="21"/>
        </w:rPr>
        <w:t>（5）若磋商供应商不按采购文件的要求提供资格审查材料，其风险由磋商供应商自行承担。</w:t>
      </w:r>
    </w:p>
    <w:p w14:paraId="001FA631">
      <w:pPr>
        <w:autoSpaceDE w:val="0"/>
        <w:autoSpaceDN w:val="0"/>
        <w:adjustRightInd w:val="0"/>
        <w:spacing w:line="360" w:lineRule="auto"/>
        <w:ind w:left="0" w:leftChars="0" w:firstLine="359" w:firstLineChars="171"/>
        <w:rPr>
          <w:rFonts w:ascii="宋体" w:hAnsi="宋体" w:cs="宋体"/>
          <w:szCs w:val="21"/>
        </w:rPr>
      </w:pPr>
      <w:r>
        <w:rPr>
          <w:rFonts w:hint="eastAsia" w:ascii="宋体" w:hAnsi="宋体" w:cs="宋体"/>
          <w:kern w:val="0"/>
          <w:szCs w:val="21"/>
        </w:rPr>
        <w:t>（6）</w:t>
      </w:r>
      <w:r>
        <w:rPr>
          <w:rFonts w:hint="eastAsia" w:ascii="宋体" w:hAnsi="宋体" w:cs="宋体"/>
          <w:szCs w:val="21"/>
        </w:rPr>
        <w:t>与本次磋商无关的内容请不要制作在内，确保磋商响应文件有针对性、简洁明了，同时节约纸张；磋商响应文件统一以A4纸大小双面打印并装订。</w:t>
      </w:r>
    </w:p>
    <w:p w14:paraId="39DF68AD">
      <w:pPr>
        <w:autoSpaceDE w:val="0"/>
        <w:autoSpaceDN w:val="0"/>
        <w:adjustRightInd w:val="0"/>
        <w:spacing w:line="360" w:lineRule="auto"/>
        <w:ind w:firstLine="480"/>
        <w:rPr>
          <w:rFonts w:ascii="宋体" w:hAnsi="宋体" w:cs="宋体"/>
          <w:b/>
          <w:bCs/>
          <w:szCs w:val="21"/>
        </w:rPr>
      </w:pPr>
      <w:r>
        <w:rPr>
          <w:rFonts w:hint="eastAsia" w:ascii="宋体" w:hAnsi="宋体" w:cs="宋体"/>
          <w:b/>
          <w:bCs/>
          <w:szCs w:val="21"/>
        </w:rPr>
        <w:t>2、磋商响应文件的封装要求</w:t>
      </w:r>
    </w:p>
    <w:p w14:paraId="6A4300B7">
      <w:pPr>
        <w:pStyle w:val="53"/>
        <w:spacing w:line="360" w:lineRule="auto"/>
        <w:ind w:firstLine="420" w:firstLineChars="200"/>
        <w:rPr>
          <w:rFonts w:hAnsi="宋体" w:cs="宋体"/>
          <w:sz w:val="21"/>
          <w:szCs w:val="21"/>
        </w:rPr>
      </w:pPr>
      <w:r>
        <w:rPr>
          <w:rFonts w:hint="eastAsia" w:hAnsi="宋体" w:cs="宋体"/>
          <w:sz w:val="21"/>
          <w:szCs w:val="21"/>
        </w:rPr>
        <w:t>（1）磋商响应文件份数：正本一份，副本</w:t>
      </w:r>
      <w:r>
        <w:rPr>
          <w:rFonts w:hint="eastAsia" w:hAnsi="宋体" w:cs="宋体"/>
          <w:sz w:val="21"/>
          <w:szCs w:val="21"/>
          <w:lang w:val="en-US" w:eastAsia="zh-CN"/>
        </w:rPr>
        <w:t>四</w:t>
      </w:r>
      <w:r>
        <w:rPr>
          <w:rFonts w:hint="eastAsia" w:hAnsi="宋体" w:cs="宋体"/>
          <w:sz w:val="21"/>
          <w:szCs w:val="21"/>
        </w:rPr>
        <w:t>份，封装成一袋。投标文件分资格</w:t>
      </w:r>
      <w:r>
        <w:rPr>
          <w:rFonts w:hint="eastAsia" w:hAnsi="宋体" w:cs="宋体"/>
          <w:sz w:val="21"/>
          <w:szCs w:val="21"/>
          <w:lang w:val="en-US" w:eastAsia="zh-CN"/>
        </w:rPr>
        <w:t>证明部分</w:t>
      </w:r>
      <w:r>
        <w:rPr>
          <w:rFonts w:hint="eastAsia" w:hAnsi="宋体" w:cs="宋体"/>
          <w:sz w:val="21"/>
          <w:szCs w:val="21"/>
        </w:rPr>
        <w:t>、商务与技术部分</w:t>
      </w:r>
      <w:r>
        <w:rPr>
          <w:rFonts w:hint="eastAsia" w:hAnsi="宋体" w:cs="宋体"/>
          <w:sz w:val="21"/>
          <w:szCs w:val="21"/>
          <w:lang w:val="en-US" w:eastAsia="zh-CN"/>
        </w:rPr>
        <w:t>和报价部分</w:t>
      </w:r>
      <w:r>
        <w:rPr>
          <w:rFonts w:hint="eastAsia" w:hAnsi="宋体" w:cs="宋体"/>
          <w:sz w:val="21"/>
          <w:szCs w:val="21"/>
        </w:rPr>
        <w:t>，并按顺序编排、不分册装订。磋商文件正本和副本如有不一致之处，以正本为准。磋商文件的正本</w:t>
      </w:r>
      <w:r>
        <w:rPr>
          <w:rFonts w:hint="eastAsia" w:hAnsi="宋体" w:cs="宋体"/>
          <w:sz w:val="21"/>
          <w:szCs w:val="21"/>
          <w:lang w:val="zh-CN"/>
        </w:rPr>
        <w:t>封面</w:t>
      </w:r>
      <w:r>
        <w:rPr>
          <w:rFonts w:hint="eastAsia" w:hAnsi="宋体" w:cs="宋体"/>
          <w:sz w:val="21"/>
          <w:szCs w:val="21"/>
        </w:rPr>
        <w:t>需打印或用不退色的墨水填写，并注明“正本”字样，副本可以复印。</w:t>
      </w:r>
      <w:r>
        <w:rPr>
          <w:rFonts w:hint="eastAsia" w:hAnsi="宋体" w:cs="宋体"/>
          <w:sz w:val="21"/>
          <w:szCs w:val="21"/>
          <w:lang w:val="zh-CN"/>
        </w:rPr>
        <w:t>磋商文件的正本封面必须注明“正本”字样，副本可以采用正本的复印件。</w:t>
      </w:r>
      <w:r>
        <w:rPr>
          <w:rFonts w:hint="eastAsia" w:hAnsi="宋体" w:cs="宋体"/>
          <w:sz w:val="21"/>
          <w:szCs w:val="21"/>
        </w:rPr>
        <w:t>除报价文件外其余一律不准出现数字报价。如有不同标项，请按标项号分别装订，密封要求同上。</w:t>
      </w:r>
    </w:p>
    <w:p w14:paraId="2382F552">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（2）所有磋商响应资料按磋商采购文件的组成所列内容及顺序装订成册，</w:t>
      </w:r>
      <w:r>
        <w:rPr>
          <w:rFonts w:hint="eastAsia" w:ascii="宋体" w:hAnsi="宋体" w:cs="宋体"/>
          <w:szCs w:val="21"/>
          <w:lang w:val="zh-CN"/>
        </w:rPr>
        <w:t>并逐页连续标注页码。因磋商响应文件内容不完整、编排混乱导致磋商响应文件被误读、漏读或者查找不到相关内容的责任由供应商自行承担。</w:t>
      </w:r>
    </w:p>
    <w:p w14:paraId="7E0D114B">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（3）请在密封袋的封口处应有磋商供应商公章</w:t>
      </w:r>
      <w:r>
        <w:rPr>
          <w:rFonts w:hint="eastAsia" w:ascii="宋体" w:hAnsi="宋体" w:cs="宋体"/>
          <w:szCs w:val="21"/>
        </w:rPr>
        <w:t>和</w:t>
      </w:r>
      <w:bookmarkStart w:id="3" w:name="_Hlk175777818"/>
      <w:r>
        <w:rPr>
          <w:rFonts w:hint="eastAsia" w:ascii="宋体" w:hAnsi="宋体" w:cs="宋体"/>
          <w:szCs w:val="21"/>
        </w:rPr>
        <w:t>法定代表人</w:t>
      </w:r>
      <w:bookmarkEnd w:id="3"/>
      <w:r>
        <w:rPr>
          <w:rFonts w:hint="eastAsia" w:ascii="宋体" w:hAnsi="宋体" w:cs="宋体"/>
          <w:szCs w:val="21"/>
        </w:rPr>
        <w:t>或磋商全权代表签名。</w:t>
      </w:r>
      <w:r>
        <w:rPr>
          <w:rFonts w:hint="eastAsia" w:ascii="宋体" w:hAnsi="宋体" w:cs="宋体"/>
          <w:kern w:val="0"/>
          <w:szCs w:val="21"/>
        </w:rPr>
        <w:t>封皮上写明项目名称、供应商名称，并注明“磋商响应文件”、“</w:t>
      </w:r>
      <w:bookmarkStart w:id="4" w:name="_Hlk175776945"/>
      <w:r>
        <w:rPr>
          <w:rFonts w:hint="eastAsia" w:ascii="宋体" w:hAnsi="宋体" w:cs="宋体"/>
          <w:kern w:val="0"/>
          <w:szCs w:val="21"/>
        </w:rPr>
        <w:t>磋商时启封</w:t>
      </w:r>
      <w:bookmarkEnd w:id="4"/>
      <w:r>
        <w:rPr>
          <w:rFonts w:hint="eastAsia" w:ascii="宋体" w:hAnsi="宋体" w:cs="宋体"/>
          <w:kern w:val="0"/>
          <w:szCs w:val="21"/>
        </w:rPr>
        <w:t>”字样，未按上述要求密封及加写标记，采购组织机构对磋商响应文件的误投和提前启封不负责任。</w:t>
      </w:r>
    </w:p>
    <w:p w14:paraId="0D926C5F">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rPr>
        <w:t>（4）</w:t>
      </w:r>
      <w:r>
        <w:rPr>
          <w:rFonts w:hint="eastAsia" w:ascii="宋体" w:hAnsi="宋体" w:cs="宋体"/>
          <w:kern w:val="0"/>
          <w:szCs w:val="21"/>
          <w:lang w:val="zh-CN"/>
        </w:rPr>
        <w:t>因密封不严、标记不明而造成失密、拒收、过早启封等情况，采购组织机构概不负责。</w:t>
      </w:r>
    </w:p>
    <w:p w14:paraId="77A48001">
      <w:pPr>
        <w:spacing w:line="360" w:lineRule="auto"/>
        <w:ind w:firstLine="422" w:firstLineChars="200"/>
        <w:rPr>
          <w:rFonts w:ascii="宋体" w:hAnsi="宋体" w:cs="宋体"/>
          <w:szCs w:val="21"/>
        </w:rPr>
      </w:pPr>
      <w:r>
        <w:rPr>
          <w:rFonts w:hint="eastAsia" w:ascii="宋体" w:hAnsi="宋体" w:cs="宋体"/>
          <w:b/>
          <w:bCs/>
          <w:szCs w:val="21"/>
        </w:rPr>
        <w:t>3、磋商响应文件的递交要求</w:t>
      </w:r>
    </w:p>
    <w:p w14:paraId="666F5D52">
      <w:pPr>
        <w:spacing w:line="360" w:lineRule="auto"/>
        <w:ind w:firstLine="420" w:firstLineChars="200"/>
        <w:rPr>
          <w:rFonts w:ascii="宋体" w:hAnsi="宋体" w:cs="宋体"/>
          <w:szCs w:val="21"/>
          <w:highlight w:val="none"/>
        </w:rPr>
      </w:pPr>
      <w:r>
        <w:rPr>
          <w:rFonts w:hint="eastAsia" w:ascii="宋体" w:hAnsi="宋体" w:cs="宋体"/>
          <w:szCs w:val="21"/>
        </w:rPr>
        <w:t>（1）</w:t>
      </w:r>
      <w:r>
        <w:rPr>
          <w:rFonts w:hint="eastAsia" w:ascii="宋体" w:hAnsi="宋体" w:cs="宋体"/>
        </w:rPr>
        <w:t>本项目需要投标人将磋商响应文件在</w:t>
      </w:r>
      <w:r>
        <w:rPr>
          <w:rFonts w:hint="eastAsia" w:ascii="宋体" w:hAnsi="宋体" w:cs="宋体"/>
          <w:b w:val="0"/>
          <w:bCs w:val="0"/>
        </w:rPr>
        <w:t>投标截止时间前按</w:t>
      </w:r>
      <w:r>
        <w:rPr>
          <w:rFonts w:hint="eastAsia" w:ascii="宋体" w:hAnsi="宋体" w:cs="宋体"/>
          <w:b w:val="0"/>
          <w:bCs w:val="0"/>
          <w:highlight w:val="none"/>
        </w:rPr>
        <w:t>要求密封并邮寄</w:t>
      </w:r>
      <w:r>
        <w:rPr>
          <w:rFonts w:hint="eastAsia" w:ascii="宋体" w:hAnsi="宋体" w:cs="宋体"/>
          <w:b w:val="0"/>
          <w:bCs w:val="0"/>
          <w:highlight w:val="none"/>
          <w:lang w:val="en-US" w:eastAsia="zh-CN"/>
        </w:rPr>
        <w:t>或直接递送</w:t>
      </w:r>
      <w:r>
        <w:rPr>
          <w:rFonts w:hint="eastAsia" w:ascii="宋体" w:hAnsi="宋体" w:cs="宋体"/>
          <w:highlight w:val="none"/>
        </w:rPr>
        <w:t>到</w:t>
      </w:r>
      <w:r>
        <w:rPr>
          <w:rFonts w:hint="eastAsia" w:ascii="宋体" w:hAnsi="宋体" w:cs="宋体"/>
          <w:b w:val="0"/>
          <w:bCs w:val="0"/>
          <w:szCs w:val="21"/>
          <w:highlight w:val="none"/>
          <w:lang w:val="en-US" w:eastAsia="zh-CN"/>
        </w:rPr>
        <w:t>国有资本投资大厦6楼办公室</w:t>
      </w:r>
      <w:r>
        <w:rPr>
          <w:rFonts w:hint="eastAsia" w:ascii="宋体" w:hAnsi="宋体" w:cs="宋体"/>
          <w:highlight w:val="none"/>
        </w:rPr>
        <w:t>，逾期寄达或未按要求密封将被拒收。</w:t>
      </w:r>
    </w:p>
    <w:p w14:paraId="31065113">
      <w:pPr>
        <w:spacing w:line="360" w:lineRule="auto"/>
        <w:ind w:firstLine="420" w:firstLineChars="200"/>
        <w:rPr>
          <w:rFonts w:ascii="宋体" w:hAnsi="宋体" w:cs="宋体"/>
          <w:szCs w:val="21"/>
          <w:highlight w:val="none"/>
        </w:rPr>
      </w:pPr>
      <w:r>
        <w:rPr>
          <w:rFonts w:hint="eastAsia" w:ascii="宋体" w:hAnsi="宋体" w:cs="宋体"/>
          <w:szCs w:val="21"/>
          <w:highlight w:val="none"/>
        </w:rPr>
        <w:t>（2）如有特殊情况，采购组织机构延长截止时间和磋商时间，采购组织机构和供应商的权利和义务将受到新的截止时间和磋商时间的约束。</w:t>
      </w:r>
    </w:p>
    <w:p w14:paraId="21849117">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4、磋商响应文件的补充、修改和撤回。</w:t>
      </w:r>
    </w:p>
    <w:p w14:paraId="511A2435">
      <w:pPr>
        <w:spacing w:line="360" w:lineRule="auto"/>
        <w:ind w:firstLine="420" w:firstLineChars="200"/>
        <w:rPr>
          <w:rFonts w:ascii="宋体" w:hAnsi="宋体" w:cs="宋体"/>
          <w:szCs w:val="21"/>
        </w:rPr>
      </w:pPr>
      <w:r>
        <w:rPr>
          <w:rFonts w:hint="eastAsia" w:ascii="宋体" w:hAnsi="宋体" w:cs="宋体"/>
          <w:szCs w:val="21"/>
        </w:rPr>
        <w:t>（1）供应商如需对上交的磋商响应文件进行补充、修改或撤回的，必须在磋商响应截止时间以前将书面的修改文件或撤消通知送达采购组织机构。</w:t>
      </w:r>
    </w:p>
    <w:p w14:paraId="1B941C2D">
      <w:pPr>
        <w:spacing w:line="360" w:lineRule="auto"/>
        <w:ind w:firstLine="420" w:firstLineChars="200"/>
        <w:rPr>
          <w:rFonts w:ascii="宋体" w:hAnsi="宋体" w:cs="宋体"/>
          <w:szCs w:val="21"/>
        </w:rPr>
      </w:pPr>
      <w:r>
        <w:rPr>
          <w:rFonts w:hint="eastAsia" w:ascii="宋体" w:hAnsi="宋体" w:cs="宋体"/>
          <w:szCs w:val="21"/>
        </w:rPr>
        <w:t>（2）磋商响应修改文件必须密封，在密封袋上写明</w:t>
      </w:r>
      <w:r>
        <w:rPr>
          <w:rFonts w:hint="eastAsia" w:ascii="宋体" w:hAnsi="宋体" w:cs="宋体"/>
          <w:kern w:val="0"/>
          <w:szCs w:val="21"/>
        </w:rPr>
        <w:t>项目名称、供应商名称</w:t>
      </w:r>
      <w:r>
        <w:rPr>
          <w:rFonts w:hint="eastAsia" w:ascii="宋体" w:hAnsi="宋体" w:cs="宋体"/>
          <w:szCs w:val="21"/>
        </w:rPr>
        <w:t>、并注明“修改文件”、“磋商时启封”字样，其作为磋商响应文件的组成部份。</w:t>
      </w:r>
    </w:p>
    <w:p w14:paraId="7FEF9ABC">
      <w:pPr>
        <w:spacing w:line="360" w:lineRule="auto"/>
        <w:rPr>
          <w:rFonts w:ascii="宋体" w:hAnsi="宋体" w:cs="宋体"/>
          <w:b/>
          <w:bCs/>
          <w:szCs w:val="21"/>
        </w:rPr>
      </w:pPr>
      <w:r>
        <w:rPr>
          <w:rFonts w:hint="eastAsia" w:ascii="宋体" w:hAnsi="宋体" w:cs="宋体"/>
          <w:b/>
          <w:bCs/>
          <w:szCs w:val="21"/>
        </w:rPr>
        <w:t>（三）磋商响应文件的有效期</w:t>
      </w:r>
    </w:p>
    <w:p w14:paraId="30381548">
      <w:pPr>
        <w:spacing w:line="360" w:lineRule="auto"/>
        <w:ind w:left="0" w:leftChars="0" w:firstLine="359" w:firstLineChars="171"/>
        <w:rPr>
          <w:rFonts w:ascii="宋体" w:hAnsi="宋体" w:cs="宋体"/>
          <w:szCs w:val="21"/>
        </w:rPr>
      </w:pPr>
      <w:r>
        <w:rPr>
          <w:rFonts w:hint="eastAsia" w:ascii="宋体" w:hAnsi="宋体" w:cs="宋体"/>
          <w:szCs w:val="21"/>
        </w:rPr>
        <w:t>1、自磋商响应截止日起90天磋商响应文件应保持有效。有效期不足的磋商响应文件将被拒绝。</w:t>
      </w:r>
    </w:p>
    <w:p w14:paraId="4D985667">
      <w:pPr>
        <w:spacing w:line="360" w:lineRule="auto"/>
        <w:ind w:left="0" w:leftChars="0" w:firstLine="359" w:firstLineChars="171"/>
        <w:rPr>
          <w:rFonts w:ascii="宋体" w:hAnsi="宋体" w:cs="宋体"/>
          <w:szCs w:val="21"/>
        </w:rPr>
      </w:pPr>
      <w:r>
        <w:rPr>
          <w:rFonts w:hint="eastAsia" w:ascii="宋体" w:hAnsi="宋体" w:cs="宋体"/>
          <w:szCs w:val="21"/>
        </w:rPr>
        <w:t>2、在特殊情况下，采购人可与磋商供应商协商延长磋商响应文件的有效期，这种要求和答复均以书面形式进行。</w:t>
      </w:r>
    </w:p>
    <w:p w14:paraId="242076BF">
      <w:pPr>
        <w:spacing w:line="360" w:lineRule="auto"/>
        <w:ind w:left="0" w:leftChars="0" w:firstLine="359" w:firstLineChars="171"/>
        <w:rPr>
          <w:rFonts w:ascii="宋体" w:hAnsi="宋体" w:cs="宋体"/>
          <w:szCs w:val="21"/>
        </w:rPr>
      </w:pPr>
      <w:r>
        <w:rPr>
          <w:rFonts w:hint="eastAsia" w:ascii="宋体" w:hAnsi="宋体" w:cs="宋体"/>
          <w:szCs w:val="21"/>
        </w:rPr>
        <w:t xml:space="preserve">3、磋商供应商可拒绝接受延期要求。同意延长有效期的磋商供应商不能修改磋商响应文件。  </w:t>
      </w:r>
    </w:p>
    <w:p w14:paraId="566BEC42">
      <w:pPr>
        <w:spacing w:line="360" w:lineRule="auto"/>
        <w:ind w:left="0" w:leftChars="0" w:firstLine="359" w:firstLineChars="171"/>
        <w:rPr>
          <w:rFonts w:ascii="宋体" w:hAnsi="宋体" w:cs="宋体"/>
          <w:szCs w:val="21"/>
        </w:rPr>
      </w:pPr>
      <w:r>
        <w:rPr>
          <w:rFonts w:hint="eastAsia" w:ascii="宋体" w:hAnsi="宋体" w:cs="宋体"/>
          <w:szCs w:val="21"/>
        </w:rPr>
        <w:t>4、成交供应商的磋商响应文件自磋商之日起至合同履行完毕均应保持有效。</w:t>
      </w:r>
    </w:p>
    <w:p w14:paraId="686DDD04">
      <w:pPr>
        <w:tabs>
          <w:tab w:val="left" w:pos="1418"/>
        </w:tabs>
        <w:autoSpaceDE w:val="0"/>
        <w:autoSpaceDN w:val="0"/>
        <w:adjustRightInd w:val="0"/>
        <w:spacing w:line="360" w:lineRule="auto"/>
        <w:rPr>
          <w:rFonts w:ascii="宋体" w:hAnsi="宋体" w:cs="宋体"/>
          <w:b/>
          <w:kern w:val="0"/>
          <w:szCs w:val="21"/>
        </w:rPr>
      </w:pPr>
      <w:r>
        <w:rPr>
          <w:rFonts w:hint="eastAsia" w:ascii="宋体" w:hAnsi="宋体" w:cs="宋体"/>
          <w:b/>
          <w:bCs/>
          <w:szCs w:val="21"/>
        </w:rPr>
        <w:t>三、磋商</w:t>
      </w:r>
    </w:p>
    <w:p w14:paraId="7BD1C431">
      <w:pPr>
        <w:autoSpaceDE w:val="0"/>
        <w:autoSpaceDN w:val="0"/>
        <w:adjustRightInd w:val="0"/>
        <w:spacing w:line="360" w:lineRule="auto"/>
        <w:rPr>
          <w:rFonts w:ascii="宋体" w:hAnsi="宋体" w:cs="宋体"/>
          <w:b/>
          <w:szCs w:val="21"/>
        </w:rPr>
      </w:pPr>
      <w:r>
        <w:rPr>
          <w:rFonts w:hint="eastAsia" w:ascii="宋体" w:hAnsi="宋体" w:cs="宋体"/>
          <w:b/>
          <w:szCs w:val="21"/>
        </w:rPr>
        <w:t>（一）磋商委员会或磋商小组</w:t>
      </w:r>
    </w:p>
    <w:p w14:paraId="26E9AA71">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 xml:space="preserve">磋商委员会或磋商小组（以下简称磋商委员会）成员由招标单位负责组织，对具备实质性响应的投标文件进行评估和比较。 </w:t>
      </w:r>
    </w:p>
    <w:p w14:paraId="7F4D215C">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b/>
          <w:szCs w:val="21"/>
        </w:rPr>
        <w:t>（二）磋商程序</w:t>
      </w:r>
    </w:p>
    <w:p w14:paraId="1C9967D3">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1、采购组织机构将在“磋商公告”规定的时间和地点进行磋商，磋商采购会议由采购组织机构工作人员主持，所有供应商均应准时参加磋商采购会议。</w:t>
      </w:r>
    </w:p>
    <w:p w14:paraId="6931108F">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2、采购组织机构工作人员接收磋商响应文件并登记，并由供应商代表对递交记录情况进行确认。</w:t>
      </w:r>
    </w:p>
    <w:p w14:paraId="757A974F">
      <w:pPr>
        <w:pStyle w:val="11"/>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3、主持人宣布磋商采购会议开始，介绍磋商现场的人员情况，宣读提交磋商响应文件的供应商名单、磋商纪律、应当回避的情形等注意事项。</w:t>
      </w:r>
    </w:p>
    <w:p w14:paraId="1D6BDC1B">
      <w:pPr>
        <w:pStyle w:val="11"/>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 xml:space="preserve">4、提请供应商代表查验磋商响应文件密封情况。 </w:t>
      </w:r>
    </w:p>
    <w:p w14:paraId="05F642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5、主持人按磋商响应供应商签到的先后顺序当场拆封磋商文件，并送至评审场所。</w:t>
      </w:r>
    </w:p>
    <w:p w14:paraId="659C71FD">
      <w:pPr>
        <w:spacing w:line="360" w:lineRule="auto"/>
        <w:ind w:firstLine="420" w:firstLineChars="200"/>
        <w:rPr>
          <w:rFonts w:ascii="宋体" w:hAnsi="宋体" w:cs="宋体"/>
          <w:szCs w:val="21"/>
        </w:rPr>
      </w:pPr>
      <w:r>
        <w:rPr>
          <w:rFonts w:hint="eastAsia" w:ascii="宋体" w:hAnsi="宋体" w:cs="宋体"/>
          <w:szCs w:val="21"/>
        </w:rPr>
        <w:t>6、磋商小组必须按照客观、公正、审慎的原则，根据磋商文件规定的评审程序、评审方法和评审标准进行独立评审。未实质性响应磋商文件的响应文件按无效响应处理，磋商小组应当告知提交响应文件的供应商。</w:t>
      </w:r>
    </w:p>
    <w:p w14:paraId="1E33A30F">
      <w:pPr>
        <w:adjustRightInd w:val="0"/>
        <w:snapToGrid w:val="0"/>
        <w:spacing w:line="360" w:lineRule="auto"/>
        <w:ind w:firstLine="420" w:firstLineChars="200"/>
        <w:rPr>
          <w:rFonts w:ascii="宋体" w:hAnsi="宋体" w:cs="宋体"/>
          <w:szCs w:val="21"/>
        </w:rPr>
      </w:pPr>
      <w:r>
        <w:rPr>
          <w:rFonts w:hint="eastAsia" w:ascii="宋体" w:hAnsi="宋体" w:cs="宋体"/>
          <w:szCs w:val="21"/>
        </w:rPr>
        <w:t>（1）对响应文件的初审</w:t>
      </w:r>
    </w:p>
    <w:p w14:paraId="3B285E98">
      <w:pPr>
        <w:spacing w:line="360" w:lineRule="auto"/>
        <w:ind w:firstLine="420" w:firstLineChars="200"/>
        <w:rPr>
          <w:rFonts w:ascii="宋体" w:hAnsi="宋体" w:cs="宋体"/>
          <w:szCs w:val="21"/>
        </w:rPr>
      </w:pPr>
      <w:r>
        <w:rPr>
          <w:rFonts w:hint="eastAsia" w:ascii="宋体" w:hAnsi="宋体" w:cs="宋体"/>
          <w:szCs w:val="21"/>
        </w:rPr>
        <w:t>A.资格性检查：依据法律法规和磋商文件的规定，对响应文件中的资格条件进行审查，以确定磋商供应商是否具备投标资格。</w:t>
      </w:r>
    </w:p>
    <w:p w14:paraId="0B69088A">
      <w:pPr>
        <w:spacing w:line="360" w:lineRule="auto"/>
        <w:ind w:firstLine="420" w:firstLineChars="200"/>
        <w:rPr>
          <w:rFonts w:ascii="宋体" w:hAnsi="宋体" w:cs="宋体"/>
          <w:szCs w:val="21"/>
        </w:rPr>
      </w:pPr>
      <w:r>
        <w:rPr>
          <w:rFonts w:hint="eastAsia" w:ascii="宋体" w:hAnsi="宋体" w:cs="宋体"/>
          <w:szCs w:val="21"/>
        </w:rPr>
        <w:t>B.符合性检查：详细评标之前，磋商小组依据磋商文件的规定，对响应文件是否满足采购文件的实质性要求进行审查，以确定响应文件是否有效。</w:t>
      </w:r>
    </w:p>
    <w:p w14:paraId="7F080025">
      <w:pPr>
        <w:spacing w:line="360" w:lineRule="auto"/>
        <w:ind w:firstLine="420" w:firstLineChars="200"/>
        <w:rPr>
          <w:rFonts w:ascii="宋体" w:hAnsi="宋体" w:cs="宋体"/>
          <w:szCs w:val="21"/>
        </w:rPr>
      </w:pPr>
      <w:r>
        <w:rPr>
          <w:rFonts w:hint="eastAsia" w:ascii="宋体" w:hAnsi="宋体" w:cs="宋体"/>
          <w:szCs w:val="21"/>
        </w:rPr>
        <w:t>7、初审合格的供应商进入下一步的磋商活动。</w:t>
      </w:r>
    </w:p>
    <w:p w14:paraId="346BBFA2">
      <w:pPr>
        <w:spacing w:line="360" w:lineRule="auto"/>
        <w:ind w:firstLine="420" w:firstLineChars="200"/>
        <w:rPr>
          <w:rFonts w:ascii="宋体" w:hAnsi="宋体" w:cs="宋体"/>
          <w:szCs w:val="21"/>
        </w:rPr>
      </w:pPr>
      <w:r>
        <w:rPr>
          <w:rFonts w:hint="eastAsia" w:ascii="宋体" w:hAnsi="宋体" w:cs="宋体"/>
          <w:szCs w:val="21"/>
        </w:rPr>
        <w:t>8、磋商小组所有成员集中与单一供应商分别进行磋商，并给予所有参加磋商的供应商平等的磋商机会。</w:t>
      </w:r>
    </w:p>
    <w:p w14:paraId="6DCC2ACE">
      <w:pPr>
        <w:spacing w:line="360" w:lineRule="auto"/>
        <w:ind w:firstLine="420" w:firstLineChars="200"/>
        <w:rPr>
          <w:rFonts w:ascii="宋体" w:hAnsi="宋体" w:cs="宋体"/>
          <w:szCs w:val="21"/>
        </w:rPr>
      </w:pPr>
      <w:r>
        <w:rPr>
          <w:rFonts w:hint="eastAsia" w:ascii="宋体" w:hAnsi="宋体" w:cs="宋体"/>
          <w:szCs w:val="21"/>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4D17AE8">
      <w:pPr>
        <w:spacing w:line="360" w:lineRule="auto"/>
        <w:ind w:firstLine="420" w:firstLineChars="200"/>
        <w:rPr>
          <w:rFonts w:ascii="宋体" w:hAnsi="宋体" w:cs="宋体"/>
          <w:szCs w:val="21"/>
        </w:rPr>
      </w:pPr>
      <w:r>
        <w:rPr>
          <w:rFonts w:hint="eastAsia" w:ascii="宋体" w:hAnsi="宋体" w:cs="宋体"/>
          <w:szCs w:val="21"/>
        </w:rPr>
        <w:t xml:space="preserve">10、磋商文件能够详细列明采购标的的技术、服务要求的，磋商结束后，磋商小组将要求所有实质性响应的供应商在规定时间内提交最后报价，最终报价不得高于首次报价。最后报价是供应商响应文件的有效组成部分。 </w:t>
      </w:r>
    </w:p>
    <w:p w14:paraId="08846D2A">
      <w:pPr>
        <w:spacing w:line="360" w:lineRule="auto"/>
        <w:ind w:firstLine="420" w:firstLineChars="200"/>
        <w:rPr>
          <w:rFonts w:ascii="宋体" w:hAnsi="宋体" w:cs="宋体"/>
          <w:szCs w:val="21"/>
        </w:rPr>
      </w:pPr>
      <w:r>
        <w:rPr>
          <w:rFonts w:hint="eastAsia" w:ascii="宋体" w:hAnsi="宋体" w:cs="宋体"/>
          <w:szCs w:val="21"/>
        </w:rPr>
        <w:t>11、经磋商确定最终采购需求和提交最后报价的供应商后，由磋商小组采用综合评分法对提交最后报价的供应商的响应文件和最后报价进行综合评分。</w:t>
      </w:r>
    </w:p>
    <w:p w14:paraId="60637061">
      <w:pPr>
        <w:pStyle w:val="11"/>
        <w:snapToGrid w:val="0"/>
        <w:spacing w:line="360" w:lineRule="auto"/>
        <w:ind w:firstLine="420" w:firstLineChars="200"/>
        <w:rPr>
          <w:rFonts w:hAnsi="宋体" w:cs="宋体"/>
          <w:szCs w:val="21"/>
        </w:rPr>
      </w:pPr>
      <w:r>
        <w:rPr>
          <w:rFonts w:hint="eastAsia" w:hAnsi="宋体" w:cs="宋体"/>
          <w:szCs w:val="21"/>
        </w:rPr>
        <w:t>12、磋商小组根据综合评分情况，按照评审得分由高到低顺序确定成交候选供应商，编写评审报告。</w:t>
      </w:r>
    </w:p>
    <w:p w14:paraId="53998233">
      <w:pPr>
        <w:pStyle w:val="11"/>
        <w:snapToGrid w:val="0"/>
        <w:spacing w:line="360" w:lineRule="auto"/>
        <w:ind w:firstLine="420" w:firstLineChars="200"/>
        <w:rPr>
          <w:rFonts w:hAnsi="宋体" w:cs="宋体"/>
          <w:szCs w:val="21"/>
        </w:rPr>
      </w:pPr>
      <w:r>
        <w:rPr>
          <w:rFonts w:hint="eastAsia" w:hAnsi="宋体" w:cs="宋体"/>
          <w:szCs w:val="21"/>
        </w:rPr>
        <w:t>13、采购组织机构对磋商小组专家成员进行评价；</w:t>
      </w:r>
    </w:p>
    <w:p w14:paraId="3BE1256A">
      <w:pPr>
        <w:pStyle w:val="11"/>
        <w:snapToGrid w:val="0"/>
        <w:spacing w:line="360" w:lineRule="auto"/>
        <w:ind w:firstLine="420" w:firstLineChars="200"/>
        <w:rPr>
          <w:rFonts w:hAnsi="宋体" w:cs="宋体"/>
          <w:szCs w:val="21"/>
        </w:rPr>
      </w:pPr>
      <w:r>
        <w:rPr>
          <w:rFonts w:hint="eastAsia" w:hAnsi="宋体" w:cs="宋体"/>
          <w:szCs w:val="21"/>
        </w:rPr>
        <w:t xml:space="preserve">14、主持人到磋商采购会现场宣布磋商结果（含技术得分、最后报价、报价得分及总得分），磋商采购会议结束。     </w:t>
      </w:r>
    </w:p>
    <w:p w14:paraId="1AFAD800">
      <w:pPr>
        <w:pStyle w:val="11"/>
        <w:snapToGrid w:val="0"/>
        <w:spacing w:line="360" w:lineRule="auto"/>
        <w:rPr>
          <w:rFonts w:hAnsi="宋体" w:cs="宋体"/>
          <w:szCs w:val="21"/>
        </w:rPr>
      </w:pPr>
      <w:r>
        <w:rPr>
          <w:rFonts w:hint="eastAsia" w:hAnsi="宋体" w:cs="宋体"/>
          <w:b/>
          <w:szCs w:val="21"/>
        </w:rPr>
        <w:t>（三）澄清问题的形式</w:t>
      </w:r>
    </w:p>
    <w:p w14:paraId="1BF07B07">
      <w:pPr>
        <w:snapToGrid w:val="0"/>
        <w:spacing w:line="360" w:lineRule="auto"/>
        <w:ind w:firstLine="420" w:firstLineChars="200"/>
        <w:rPr>
          <w:rFonts w:ascii="宋体" w:hAnsi="宋体" w:cs="宋体"/>
          <w:szCs w:val="21"/>
        </w:rPr>
      </w:pPr>
      <w:r>
        <w:rPr>
          <w:rFonts w:hint="eastAsia" w:ascii="宋体" w:hAnsi="宋体" w:cs="宋体"/>
          <w:szCs w:val="21"/>
        </w:rPr>
        <w:t>磋商供应商的澄清、说明或者补正应当采用书面形式，并加盖公章，或者由法定代理人或其授权的代表签字，并不得超出磋商响应文件的范围或者改变磋商响应文件的实质性内容。</w:t>
      </w:r>
    </w:p>
    <w:p w14:paraId="3A4282A0">
      <w:pPr>
        <w:snapToGrid w:val="0"/>
        <w:spacing w:line="360" w:lineRule="auto"/>
        <w:rPr>
          <w:rFonts w:ascii="宋体" w:hAnsi="宋体" w:cs="宋体"/>
          <w:szCs w:val="21"/>
        </w:rPr>
      </w:pPr>
      <w:r>
        <w:rPr>
          <w:rFonts w:hint="eastAsia" w:ascii="宋体" w:hAnsi="宋体" w:cs="宋体"/>
          <w:b/>
          <w:szCs w:val="21"/>
        </w:rPr>
        <w:t>（四）错误修正</w:t>
      </w:r>
    </w:p>
    <w:p w14:paraId="787392ED">
      <w:pPr>
        <w:pStyle w:val="19"/>
        <w:spacing w:before="0" w:beforeAutospacing="0" w:after="0" w:afterAutospacing="0" w:line="360" w:lineRule="auto"/>
        <w:ind w:firstLine="420" w:firstLineChars="200"/>
        <w:jc w:val="both"/>
        <w:rPr>
          <w:rFonts w:cs="宋体"/>
          <w:sz w:val="21"/>
          <w:szCs w:val="21"/>
        </w:rPr>
      </w:pPr>
      <w:r>
        <w:rPr>
          <w:rFonts w:hint="eastAsia" w:cs="宋体"/>
          <w:sz w:val="21"/>
          <w:szCs w:val="21"/>
        </w:rPr>
        <w:t>磋商响应文件报价出现前后不一致的，除</w:t>
      </w:r>
      <w:r>
        <w:rPr>
          <w:rFonts w:hint="eastAsia" w:cs="宋体"/>
          <w:bCs/>
          <w:sz w:val="21"/>
          <w:szCs w:val="21"/>
        </w:rPr>
        <w:t>采购文件</w:t>
      </w:r>
      <w:r>
        <w:rPr>
          <w:rFonts w:hint="eastAsia" w:cs="宋体"/>
          <w:sz w:val="21"/>
          <w:szCs w:val="21"/>
        </w:rPr>
        <w:t>另有规定外，按照下列规定修正：</w:t>
      </w:r>
    </w:p>
    <w:p w14:paraId="6A1B2ABC">
      <w:pPr>
        <w:pStyle w:val="19"/>
        <w:spacing w:before="0" w:beforeAutospacing="0" w:after="0" w:afterAutospacing="0" w:line="360" w:lineRule="auto"/>
        <w:jc w:val="both"/>
        <w:rPr>
          <w:rFonts w:cs="宋体"/>
          <w:sz w:val="21"/>
          <w:szCs w:val="21"/>
        </w:rPr>
      </w:pPr>
      <w:r>
        <w:rPr>
          <w:rFonts w:hint="eastAsia" w:cs="宋体"/>
          <w:sz w:val="21"/>
          <w:szCs w:val="21"/>
        </w:rPr>
        <w:t>　　1、磋商响应文件中</w:t>
      </w:r>
      <w:bookmarkStart w:id="5" w:name="_Hlk61427222"/>
      <w:r>
        <w:rPr>
          <w:rFonts w:hint="eastAsia" w:cs="宋体"/>
          <w:sz w:val="21"/>
          <w:szCs w:val="21"/>
        </w:rPr>
        <w:t>开标一览表</w:t>
      </w:r>
      <w:bookmarkEnd w:id="5"/>
      <w:r>
        <w:rPr>
          <w:rFonts w:hint="eastAsia" w:cs="宋体"/>
          <w:sz w:val="21"/>
          <w:szCs w:val="21"/>
        </w:rPr>
        <w:t>内容与磋商响应文件中相应内容不一致的，以开标一览表为准；</w:t>
      </w:r>
    </w:p>
    <w:p w14:paraId="6E65D606">
      <w:pPr>
        <w:pStyle w:val="19"/>
        <w:spacing w:before="0" w:beforeAutospacing="0" w:after="0" w:afterAutospacing="0" w:line="360" w:lineRule="auto"/>
        <w:jc w:val="both"/>
        <w:rPr>
          <w:rFonts w:cs="宋体"/>
          <w:sz w:val="21"/>
          <w:szCs w:val="21"/>
        </w:rPr>
      </w:pPr>
      <w:r>
        <w:rPr>
          <w:rFonts w:hint="eastAsia" w:cs="宋体"/>
          <w:sz w:val="21"/>
          <w:szCs w:val="21"/>
        </w:rPr>
        <w:t>　　2、大写金额和小写金额不一致的，以大写金额为准；</w:t>
      </w:r>
    </w:p>
    <w:p w14:paraId="292F25F8">
      <w:pPr>
        <w:pStyle w:val="19"/>
        <w:spacing w:before="0" w:beforeAutospacing="0" w:after="0" w:afterAutospacing="0" w:line="360" w:lineRule="auto"/>
        <w:jc w:val="both"/>
        <w:rPr>
          <w:rFonts w:cs="宋体"/>
          <w:sz w:val="21"/>
          <w:szCs w:val="21"/>
        </w:rPr>
      </w:pPr>
      <w:r>
        <w:rPr>
          <w:rFonts w:hint="eastAsia" w:cs="宋体"/>
          <w:sz w:val="21"/>
          <w:szCs w:val="21"/>
        </w:rPr>
        <w:t>　　3、单价金额小数点或者百分比有明显错位的，以开标一览表的总价为准，并修改单价；</w:t>
      </w:r>
    </w:p>
    <w:p w14:paraId="38E04B68">
      <w:pPr>
        <w:pStyle w:val="19"/>
        <w:spacing w:before="0" w:beforeAutospacing="0" w:after="0" w:afterAutospacing="0" w:line="360" w:lineRule="auto"/>
        <w:jc w:val="both"/>
        <w:rPr>
          <w:rFonts w:cs="宋体"/>
          <w:sz w:val="21"/>
          <w:szCs w:val="21"/>
        </w:rPr>
      </w:pPr>
      <w:r>
        <w:rPr>
          <w:rFonts w:hint="eastAsia" w:cs="宋体"/>
          <w:sz w:val="21"/>
          <w:szCs w:val="21"/>
        </w:rPr>
        <w:t>　　4、总价金额与按单价汇总金额不一致的，以单价金额计算结果为准。</w:t>
      </w:r>
    </w:p>
    <w:p w14:paraId="3D44E55D">
      <w:pPr>
        <w:pStyle w:val="19"/>
        <w:spacing w:before="0" w:beforeAutospacing="0" w:after="0" w:afterAutospacing="0" w:line="360" w:lineRule="auto"/>
        <w:ind w:firstLine="480"/>
        <w:jc w:val="both"/>
        <w:rPr>
          <w:rFonts w:cs="宋体"/>
          <w:sz w:val="21"/>
          <w:szCs w:val="21"/>
        </w:rPr>
      </w:pPr>
      <w:r>
        <w:rPr>
          <w:rFonts w:hint="eastAsia" w:cs="宋体"/>
          <w:sz w:val="21"/>
          <w:szCs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71C0BC63">
      <w:pPr>
        <w:pStyle w:val="19"/>
        <w:spacing w:before="0" w:beforeAutospacing="0" w:after="0" w:afterAutospacing="0" w:line="360" w:lineRule="auto"/>
        <w:rPr>
          <w:rFonts w:cs="宋体"/>
          <w:sz w:val="21"/>
          <w:szCs w:val="21"/>
        </w:rPr>
      </w:pPr>
      <w:r>
        <w:rPr>
          <w:rFonts w:hint="eastAsia" w:cs="宋体"/>
          <w:sz w:val="21"/>
          <w:szCs w:val="21"/>
        </w:rPr>
        <w:t>▲</w:t>
      </w:r>
      <w:r>
        <w:rPr>
          <w:rFonts w:hint="eastAsia" w:cs="宋体"/>
          <w:b/>
          <w:bCs/>
          <w:sz w:val="21"/>
          <w:szCs w:val="21"/>
        </w:rPr>
        <w:t>（五）</w:t>
      </w:r>
      <w:r>
        <w:rPr>
          <w:rFonts w:hint="eastAsia" w:cs="宋体"/>
          <w:b/>
          <w:sz w:val="21"/>
          <w:szCs w:val="21"/>
        </w:rPr>
        <w:t>磋商供应商存在下列情况之一的，响应无效，终止磋商</w:t>
      </w:r>
    </w:p>
    <w:p w14:paraId="0CACB1F8">
      <w:pPr>
        <w:adjustRightInd w:val="0"/>
        <w:snapToGrid w:val="0"/>
        <w:spacing w:line="360" w:lineRule="auto"/>
        <w:ind w:firstLine="420" w:firstLineChars="200"/>
        <w:jc w:val="left"/>
        <w:rPr>
          <w:rFonts w:ascii="宋体" w:hAnsi="宋体" w:cs="宋体"/>
          <w:b/>
          <w:bCs/>
          <w:szCs w:val="21"/>
        </w:rPr>
      </w:pPr>
      <w:r>
        <w:rPr>
          <w:rFonts w:hint="eastAsia" w:ascii="宋体" w:hAnsi="宋体" w:cs="宋体"/>
          <w:szCs w:val="21"/>
        </w:rPr>
        <w:t>1、</w:t>
      </w:r>
      <w:r>
        <w:rPr>
          <w:rFonts w:hint="eastAsia" w:ascii="宋体" w:hAnsi="宋体" w:cs="宋体"/>
          <w:kern w:val="0"/>
          <w:szCs w:val="21"/>
        </w:rPr>
        <w:t>磋商响应文件中的报价货物跟商务与技术内容中的供应货物出现重大偏差的；</w:t>
      </w:r>
    </w:p>
    <w:p w14:paraId="1B73D958">
      <w:pPr>
        <w:pStyle w:val="19"/>
        <w:tabs>
          <w:tab w:val="left" w:pos="7380"/>
        </w:tabs>
        <w:adjustRightInd w:val="0"/>
        <w:snapToGrid w:val="0"/>
        <w:spacing w:before="0" w:beforeAutospacing="0" w:after="0" w:afterAutospacing="0" w:line="360" w:lineRule="auto"/>
        <w:ind w:firstLine="420" w:firstLineChars="200"/>
        <w:rPr>
          <w:rFonts w:cs="宋体"/>
          <w:sz w:val="21"/>
          <w:szCs w:val="21"/>
        </w:rPr>
      </w:pPr>
      <w:r>
        <w:rPr>
          <w:rFonts w:hint="eastAsia" w:cs="宋体"/>
          <w:sz w:val="21"/>
          <w:szCs w:val="21"/>
        </w:rPr>
        <w:t>2、不具备磋商采购文件中规定的资格要求的。</w:t>
      </w:r>
    </w:p>
    <w:p w14:paraId="52D70F78">
      <w:pPr>
        <w:pStyle w:val="19"/>
        <w:adjustRightInd w:val="0"/>
        <w:snapToGrid w:val="0"/>
        <w:spacing w:before="0" w:beforeAutospacing="0" w:after="0" w:afterAutospacing="0" w:line="360" w:lineRule="auto"/>
        <w:ind w:firstLine="420" w:firstLineChars="200"/>
        <w:rPr>
          <w:rFonts w:cs="宋体"/>
          <w:sz w:val="21"/>
          <w:szCs w:val="21"/>
        </w:rPr>
      </w:pPr>
      <w:r>
        <w:rPr>
          <w:rFonts w:hint="eastAsia" w:cs="宋体"/>
          <w:sz w:val="21"/>
          <w:szCs w:val="21"/>
        </w:rPr>
        <w:t>3、磋商响应文件含有采购人不能接受的附加条件的。</w:t>
      </w:r>
    </w:p>
    <w:p w14:paraId="2820594A">
      <w:pPr>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kern w:val="0"/>
          <w:szCs w:val="21"/>
        </w:rPr>
        <w:t>4</w:t>
      </w:r>
      <w:r>
        <w:rPr>
          <w:rFonts w:hint="eastAsia" w:ascii="宋体" w:hAnsi="宋体" w:cs="宋体"/>
          <w:szCs w:val="21"/>
        </w:rPr>
        <w:t>、供应商代表人未能出具身份证明或与法定代表人授权委托人身份不符的；</w:t>
      </w:r>
    </w:p>
    <w:p w14:paraId="7516F370">
      <w:pPr>
        <w:pStyle w:val="19"/>
        <w:adjustRightInd w:val="0"/>
        <w:snapToGrid w:val="0"/>
        <w:spacing w:before="0" w:beforeAutospacing="0" w:after="0" w:afterAutospacing="0" w:line="360" w:lineRule="auto"/>
        <w:ind w:firstLine="420" w:firstLineChars="200"/>
        <w:rPr>
          <w:rFonts w:cs="宋体"/>
          <w:sz w:val="21"/>
          <w:szCs w:val="21"/>
        </w:rPr>
      </w:pPr>
      <w:r>
        <w:rPr>
          <w:rFonts w:hint="eastAsia" w:cs="宋体"/>
          <w:sz w:val="21"/>
          <w:szCs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11D23BD">
      <w:pPr>
        <w:pStyle w:val="19"/>
        <w:adjustRightInd w:val="0"/>
        <w:snapToGrid w:val="0"/>
        <w:spacing w:before="0" w:beforeAutospacing="0" w:after="0" w:afterAutospacing="0" w:line="360" w:lineRule="auto"/>
        <w:ind w:firstLine="420" w:firstLineChars="200"/>
        <w:rPr>
          <w:rFonts w:cs="宋体"/>
          <w:sz w:val="21"/>
          <w:szCs w:val="21"/>
        </w:rPr>
      </w:pPr>
      <w:r>
        <w:rPr>
          <w:rFonts w:hint="eastAsia" w:cs="宋体"/>
          <w:sz w:val="21"/>
          <w:szCs w:val="21"/>
        </w:rPr>
        <w:t>6、报价超过磋商采购文件中规定的预算金额/最高限价,</w:t>
      </w:r>
      <w:r>
        <w:rPr>
          <w:rFonts w:hint="eastAsia" w:cs="宋体"/>
          <w:kern w:val="2"/>
          <w:sz w:val="21"/>
          <w:szCs w:val="21"/>
        </w:rPr>
        <w:t>除磋商内容发生实质性变更外</w:t>
      </w:r>
      <w:r>
        <w:rPr>
          <w:rFonts w:hint="eastAsia" w:cs="宋体"/>
          <w:sz w:val="21"/>
          <w:szCs w:val="21"/>
        </w:rPr>
        <w:t>最终报价高于首次报价的。</w:t>
      </w:r>
    </w:p>
    <w:p w14:paraId="110F2947">
      <w:pPr>
        <w:tabs>
          <w:tab w:val="left" w:pos="1898"/>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7、磋商参数未如实填写，完全复制粘贴磋商采购参数的。</w:t>
      </w:r>
    </w:p>
    <w:p w14:paraId="09D407A5">
      <w:pPr>
        <w:tabs>
          <w:tab w:val="left" w:pos="1898"/>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8、磋商响应文件提供虚假材料的。</w:t>
      </w:r>
    </w:p>
    <w:p w14:paraId="765FCFF0">
      <w:pPr>
        <w:tabs>
          <w:tab w:val="left" w:pos="1898"/>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9、不同供应商的磋商响应文件由同一单位或者个人编制；</w:t>
      </w:r>
    </w:p>
    <w:p w14:paraId="7DE28DD0">
      <w:pPr>
        <w:tabs>
          <w:tab w:val="left" w:pos="1898"/>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10、不同供应商委托同一单位或者个人办理磋商事宜；</w:t>
      </w:r>
    </w:p>
    <w:p w14:paraId="389F93B7">
      <w:pPr>
        <w:tabs>
          <w:tab w:val="left" w:pos="1898"/>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11、不同供应商的磋商响应文件载明的项目管理成员或者联系人员为同一人；</w:t>
      </w:r>
    </w:p>
    <w:p w14:paraId="2DF85665">
      <w:pPr>
        <w:tabs>
          <w:tab w:val="left" w:pos="1898"/>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12、不同供应商的磋商响应文件异常一致或者报价呈规律性差异；</w:t>
      </w:r>
    </w:p>
    <w:p w14:paraId="69094EDE">
      <w:pPr>
        <w:tabs>
          <w:tab w:val="left" w:pos="1898"/>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13、不同供应商的磋商响应文件相互混装；</w:t>
      </w:r>
    </w:p>
    <w:p w14:paraId="076280B9">
      <w:pPr>
        <w:tabs>
          <w:tab w:val="left" w:pos="1898"/>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14、不符合法律、法规和磋商采购文件中规定的其他实质性要求的（磋商采购文件中打“▲”内容及被拒绝的条款）。</w:t>
      </w:r>
    </w:p>
    <w:p w14:paraId="3796BB47">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w:t>
      </w:r>
      <w:r>
        <w:rPr>
          <w:rFonts w:hint="eastAsia" w:ascii="宋体" w:hAnsi="宋体" w:cs="宋体"/>
          <w:b/>
          <w:kern w:val="0"/>
          <w:szCs w:val="21"/>
        </w:rPr>
        <w:t>（六）有下列情况之一的，本次磋商终止</w:t>
      </w:r>
    </w:p>
    <w:p w14:paraId="173057EE">
      <w:pPr>
        <w:pStyle w:val="19"/>
        <w:spacing w:before="0" w:beforeAutospacing="0" w:after="0" w:afterAutospacing="0" w:line="360" w:lineRule="auto"/>
        <w:ind w:firstLine="525" w:firstLineChars="250"/>
        <w:jc w:val="both"/>
        <w:rPr>
          <w:rFonts w:cs="宋体"/>
          <w:sz w:val="21"/>
          <w:szCs w:val="21"/>
        </w:rPr>
      </w:pPr>
      <w:r>
        <w:rPr>
          <w:rFonts w:hint="eastAsia" w:cs="宋体"/>
          <w:sz w:val="21"/>
          <w:szCs w:val="21"/>
        </w:rPr>
        <w:t>1、出现影响采购公正的违法、违规行为的；</w:t>
      </w:r>
    </w:p>
    <w:p w14:paraId="6D9BE9DD">
      <w:pPr>
        <w:pStyle w:val="19"/>
        <w:spacing w:before="0" w:beforeAutospacing="0" w:after="0" w:afterAutospacing="0" w:line="360" w:lineRule="auto"/>
        <w:ind w:firstLine="525" w:firstLineChars="250"/>
        <w:jc w:val="both"/>
        <w:rPr>
          <w:rFonts w:cs="宋体"/>
          <w:sz w:val="21"/>
          <w:szCs w:val="21"/>
        </w:rPr>
      </w:pPr>
      <w:r>
        <w:rPr>
          <w:rFonts w:hint="eastAsia" w:cs="宋体"/>
          <w:sz w:val="21"/>
          <w:szCs w:val="21"/>
        </w:rPr>
        <w:t xml:space="preserve">2、磋商小组发现磋商文件存在歧义、重大缺陷导致评审工作无法进行，或者磋商文件内容违反国家有关强制性规定的； </w:t>
      </w:r>
    </w:p>
    <w:p w14:paraId="77FF16C5">
      <w:pPr>
        <w:pStyle w:val="19"/>
        <w:spacing w:before="0" w:beforeAutospacing="0" w:after="0" w:afterAutospacing="0" w:line="360" w:lineRule="auto"/>
        <w:ind w:firstLine="525" w:firstLineChars="250"/>
        <w:jc w:val="both"/>
        <w:rPr>
          <w:rFonts w:cs="宋体"/>
          <w:sz w:val="21"/>
          <w:szCs w:val="21"/>
        </w:rPr>
      </w:pPr>
      <w:r>
        <w:rPr>
          <w:rFonts w:hint="eastAsia" w:cs="宋体"/>
          <w:sz w:val="21"/>
          <w:szCs w:val="21"/>
        </w:rPr>
        <w:t>3、因重大变故，采购任务取消的；</w:t>
      </w:r>
    </w:p>
    <w:p w14:paraId="1CC616D0">
      <w:pPr>
        <w:pStyle w:val="19"/>
        <w:spacing w:before="0" w:beforeAutospacing="0" w:after="0" w:afterAutospacing="0" w:line="360" w:lineRule="auto"/>
        <w:ind w:firstLine="525" w:firstLineChars="250"/>
        <w:jc w:val="both"/>
        <w:rPr>
          <w:rFonts w:cs="宋体"/>
          <w:sz w:val="21"/>
          <w:szCs w:val="21"/>
        </w:rPr>
      </w:pPr>
      <w:r>
        <w:rPr>
          <w:rFonts w:hint="eastAsia" w:cs="宋体"/>
          <w:sz w:val="21"/>
          <w:szCs w:val="21"/>
        </w:rPr>
        <w:t>4、法律、法规和磋商文件规定的其他导致评审结果无效的。</w:t>
      </w:r>
    </w:p>
    <w:p w14:paraId="741D03A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cs="宋体"/>
          <w:b/>
          <w:kern w:val="0"/>
          <w:szCs w:val="21"/>
        </w:rPr>
      </w:pPr>
      <w:r>
        <w:rPr>
          <w:rFonts w:hint="eastAsia" w:ascii="宋体" w:hAnsi="宋体" w:cs="宋体"/>
          <w:b/>
          <w:kern w:val="0"/>
          <w:szCs w:val="21"/>
        </w:rPr>
        <w:t>（七）磋商原则和方法</w:t>
      </w:r>
    </w:p>
    <w:p w14:paraId="3E3CEF4C">
      <w:pPr>
        <w:pStyle w:val="11"/>
        <w:snapToGrid w:val="0"/>
        <w:spacing w:line="360" w:lineRule="auto"/>
        <w:ind w:firstLine="525" w:firstLineChars="250"/>
        <w:rPr>
          <w:rFonts w:hAnsi="宋体" w:cs="宋体"/>
          <w:szCs w:val="21"/>
        </w:rPr>
      </w:pPr>
      <w:r>
        <w:rPr>
          <w:rFonts w:hint="eastAsia" w:hAnsi="宋体" w:cs="宋体"/>
          <w:szCs w:val="21"/>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7451C06">
      <w:pPr>
        <w:pStyle w:val="11"/>
        <w:snapToGrid w:val="0"/>
        <w:spacing w:line="360" w:lineRule="auto"/>
        <w:ind w:firstLine="525" w:firstLineChars="250"/>
        <w:rPr>
          <w:rFonts w:hAnsi="宋体" w:cs="宋体"/>
          <w:szCs w:val="21"/>
        </w:rPr>
      </w:pPr>
      <w:r>
        <w:rPr>
          <w:rFonts w:hint="eastAsia" w:hAnsi="宋体" w:cs="宋体"/>
          <w:szCs w:val="21"/>
        </w:rPr>
        <w:t>2、磋商办法。具体磋商内容及评分标准等详见《第三章：评审办法及评分标准》。</w:t>
      </w:r>
    </w:p>
    <w:p w14:paraId="6D4D250B">
      <w:pPr>
        <w:pStyle w:val="11"/>
        <w:keepNext/>
        <w:keepLines w:val="0"/>
        <w:pageBreakBefore w:val="0"/>
        <w:widowControl w:val="0"/>
        <w:kinsoku/>
        <w:wordWrap/>
        <w:overflowPunct/>
        <w:topLinePunct w:val="0"/>
        <w:autoSpaceDE/>
        <w:autoSpaceDN/>
        <w:bidi w:val="0"/>
        <w:adjustRightInd/>
        <w:snapToGrid w:val="0"/>
        <w:spacing w:line="360" w:lineRule="auto"/>
        <w:textAlignment w:val="auto"/>
        <w:rPr>
          <w:rFonts w:hAnsi="宋体" w:cs="宋体"/>
          <w:szCs w:val="21"/>
        </w:rPr>
      </w:pPr>
      <w:r>
        <w:rPr>
          <w:rFonts w:hint="eastAsia" w:hAnsi="宋体" w:cs="宋体"/>
          <w:b/>
          <w:szCs w:val="21"/>
        </w:rPr>
        <w:t>（八）评审过程的监控</w:t>
      </w:r>
    </w:p>
    <w:p w14:paraId="321BF0F5">
      <w:pPr>
        <w:pStyle w:val="19"/>
        <w:spacing w:before="0" w:beforeAutospacing="0" w:after="0" w:afterAutospacing="0" w:line="360" w:lineRule="auto"/>
        <w:ind w:firstLine="420" w:firstLineChars="200"/>
        <w:jc w:val="both"/>
        <w:rPr>
          <w:rFonts w:cs="宋体"/>
          <w:sz w:val="21"/>
          <w:szCs w:val="21"/>
        </w:rPr>
      </w:pPr>
      <w:r>
        <w:rPr>
          <w:rFonts w:hint="eastAsia" w:cs="宋体"/>
          <w:sz w:val="21"/>
          <w:szCs w:val="21"/>
        </w:rPr>
        <w:t>本项目评审过程实行全程录音、录像监控，采购监管部门视情进行现场监督，供应商在评审过程中所进行的试图影响评审结果的不公正活动，可能导致其被拒绝磋商。</w:t>
      </w:r>
    </w:p>
    <w:p w14:paraId="70650FA2">
      <w:pPr>
        <w:pStyle w:val="19"/>
        <w:spacing w:before="0" w:beforeAutospacing="0" w:after="0" w:afterAutospacing="0" w:line="360" w:lineRule="auto"/>
        <w:jc w:val="both"/>
        <w:rPr>
          <w:rFonts w:cs="宋体"/>
          <w:sz w:val="21"/>
          <w:szCs w:val="21"/>
        </w:rPr>
      </w:pPr>
      <w:r>
        <w:rPr>
          <w:rFonts w:hint="eastAsia" w:cs="宋体"/>
          <w:b/>
          <w:sz w:val="21"/>
          <w:szCs w:val="21"/>
        </w:rPr>
        <w:t>四、磋商结果确定</w:t>
      </w:r>
    </w:p>
    <w:p w14:paraId="44EAE180">
      <w:pPr>
        <w:spacing w:line="360" w:lineRule="auto"/>
        <w:ind w:firstLine="420" w:firstLineChars="200"/>
        <w:rPr>
          <w:rFonts w:ascii="宋体" w:hAnsi="宋体" w:cs="宋体"/>
          <w:szCs w:val="21"/>
        </w:rPr>
      </w:pPr>
      <w:r>
        <w:rPr>
          <w:rFonts w:hint="eastAsia" w:ascii="宋体" w:hAnsi="宋体" w:cs="宋体"/>
          <w:szCs w:val="21"/>
        </w:rPr>
        <w:t>1、确定成交供应商。磋商小组根据评标结果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15C5EA3E">
      <w:pPr>
        <w:spacing w:line="360" w:lineRule="auto"/>
        <w:ind w:firstLine="420" w:firstLineChars="200"/>
        <w:rPr>
          <w:rFonts w:ascii="宋体" w:hAnsi="宋体" w:cs="宋体"/>
          <w:szCs w:val="21"/>
        </w:rPr>
      </w:pPr>
      <w:r>
        <w:rPr>
          <w:rFonts w:hint="eastAsia" w:ascii="宋体" w:hAnsi="宋体" w:cs="宋体"/>
          <w:szCs w:val="21"/>
        </w:rPr>
        <w:t>2、发布成交结果公告。采购组织机构应当在成交供应商确定后2个工作日内，</w:t>
      </w:r>
      <w:r>
        <w:rPr>
          <w:rFonts w:hint="eastAsia" w:ascii="宋体" w:hAnsi="宋体" w:cs="宋体"/>
          <w:szCs w:val="21"/>
          <w:lang w:val="en-US" w:eastAsia="zh-CN"/>
        </w:rPr>
        <w:t>在</w:t>
      </w:r>
      <w:r>
        <w:rPr>
          <w:rFonts w:hint="eastAsia" w:ascii="宋体" w:hAnsi="宋体" w:cs="宋体"/>
          <w:szCs w:val="21"/>
        </w:rPr>
        <w:t>指定的政府采购信息发布媒体及相关网站上公告成交结果。</w:t>
      </w:r>
    </w:p>
    <w:p w14:paraId="77EAC23D">
      <w:pPr>
        <w:spacing w:line="360" w:lineRule="auto"/>
        <w:ind w:firstLine="420" w:firstLineChars="200"/>
        <w:rPr>
          <w:rFonts w:ascii="宋体" w:hAnsi="宋体" w:cs="宋体"/>
          <w:kern w:val="0"/>
          <w:szCs w:val="21"/>
        </w:rPr>
      </w:pPr>
      <w:r>
        <w:rPr>
          <w:rFonts w:hint="eastAsia" w:ascii="宋体" w:hAnsi="宋体" w:cs="宋体"/>
          <w:szCs w:val="21"/>
        </w:rPr>
        <w:t>3、发出成交通知书。采购组织机构在发布成交结果同时，向成交供应商发出成交通知书。</w:t>
      </w:r>
    </w:p>
    <w:p w14:paraId="660ACE2E">
      <w:pPr>
        <w:spacing w:line="360" w:lineRule="auto"/>
        <w:rPr>
          <w:rFonts w:ascii="宋体" w:hAnsi="宋体" w:cs="宋体"/>
          <w:b/>
          <w:szCs w:val="21"/>
          <w:highlight w:val="none"/>
        </w:rPr>
      </w:pPr>
      <w:r>
        <w:rPr>
          <w:rFonts w:hint="eastAsia" w:ascii="宋体" w:hAnsi="宋体" w:cs="宋体"/>
          <w:b/>
          <w:kern w:val="0"/>
          <w:szCs w:val="21"/>
        </w:rPr>
        <w:t>五、合同签订</w:t>
      </w:r>
    </w:p>
    <w:p w14:paraId="68BE4120">
      <w:pPr>
        <w:pStyle w:val="19"/>
        <w:spacing w:before="0" w:beforeAutospacing="0" w:after="0" w:afterAutospacing="0" w:line="360" w:lineRule="auto"/>
        <w:ind w:firstLine="420" w:firstLineChars="200"/>
        <w:jc w:val="both"/>
        <w:rPr>
          <w:rFonts w:cs="宋体"/>
          <w:sz w:val="21"/>
          <w:szCs w:val="21"/>
        </w:rPr>
      </w:pPr>
      <w:r>
        <w:rPr>
          <w:rFonts w:hint="eastAsia" w:cs="宋体"/>
          <w:sz w:val="21"/>
          <w:szCs w:val="21"/>
          <w:highlight w:val="none"/>
        </w:rPr>
        <w:t>1、采购人应当自成交通知书发出之日起</w:t>
      </w:r>
      <w:r>
        <w:rPr>
          <w:rFonts w:hint="eastAsia" w:cs="宋体"/>
          <w:sz w:val="21"/>
          <w:szCs w:val="21"/>
          <w:highlight w:val="none"/>
          <w:lang w:val="en-US" w:eastAsia="zh-CN"/>
        </w:rPr>
        <w:t>30</w:t>
      </w:r>
      <w:r>
        <w:rPr>
          <w:rFonts w:hint="eastAsia" w:cs="宋体"/>
          <w:sz w:val="21"/>
          <w:szCs w:val="21"/>
          <w:highlight w:val="none"/>
        </w:rPr>
        <w:t>日内，按</w:t>
      </w:r>
      <w:r>
        <w:rPr>
          <w:rFonts w:hint="eastAsia" w:cs="宋体"/>
          <w:sz w:val="21"/>
          <w:szCs w:val="21"/>
        </w:rPr>
        <w:t>照磋商采购文件要求等事项签订采购合同。</w:t>
      </w:r>
    </w:p>
    <w:p w14:paraId="6689F849">
      <w:pPr>
        <w:pStyle w:val="19"/>
        <w:spacing w:before="0" w:beforeAutospacing="0" w:after="0" w:afterAutospacing="0" w:line="360" w:lineRule="auto"/>
        <w:ind w:firstLine="420" w:firstLineChars="200"/>
        <w:jc w:val="both"/>
        <w:rPr>
          <w:rFonts w:cs="宋体"/>
          <w:sz w:val="21"/>
          <w:szCs w:val="21"/>
        </w:rPr>
      </w:pPr>
      <w:r>
        <w:rPr>
          <w:rFonts w:hint="eastAsia" w:cs="宋体"/>
          <w:sz w:val="21"/>
          <w:szCs w:val="21"/>
        </w:rPr>
        <w:t>2、采购人不得向成交供应商提出超出磋商文件以外的任何要求作为签订合同的条件，不得与成交供应商订立背离磋商文件要求等实质性内容的协议。</w:t>
      </w:r>
    </w:p>
    <w:p w14:paraId="19D98E28">
      <w:pPr>
        <w:pStyle w:val="19"/>
        <w:spacing w:before="0" w:beforeAutospacing="0" w:after="0" w:afterAutospacing="0" w:line="360" w:lineRule="auto"/>
        <w:ind w:firstLine="420" w:firstLineChars="200"/>
        <w:jc w:val="both"/>
        <w:rPr>
          <w:rFonts w:cs="宋体"/>
          <w:sz w:val="21"/>
          <w:szCs w:val="21"/>
        </w:rPr>
      </w:pPr>
      <w:r>
        <w:rPr>
          <w:rFonts w:hint="eastAsia" w:cs="宋体"/>
          <w:sz w:val="21"/>
          <w:szCs w:val="21"/>
        </w:rPr>
        <w:t>3、成交供应商无故拖延、拒签合同的,取消成交资格。</w:t>
      </w:r>
    </w:p>
    <w:p w14:paraId="26A21EAB">
      <w:pPr>
        <w:pStyle w:val="19"/>
        <w:spacing w:before="0" w:beforeAutospacing="0" w:after="0" w:afterAutospacing="0" w:line="360" w:lineRule="auto"/>
        <w:ind w:firstLine="420" w:firstLineChars="200"/>
        <w:jc w:val="both"/>
        <w:rPr>
          <w:rFonts w:cs="宋体"/>
          <w:sz w:val="21"/>
          <w:szCs w:val="21"/>
        </w:rPr>
      </w:pPr>
      <w:r>
        <w:rPr>
          <w:rFonts w:hint="eastAsia" w:cs="宋体"/>
          <w:sz w:val="21"/>
          <w:szCs w:val="21"/>
        </w:rPr>
        <w:t>4、成交供应商拒绝与采购人签订合同的，采购人可以按照评审报告推荐的成交候选供应商名单排序，确定下一候选供应商为成交供应商，也可以重新开展采购活动。</w:t>
      </w:r>
    </w:p>
    <w:p w14:paraId="0C8662DE">
      <w:pPr>
        <w:pStyle w:val="19"/>
        <w:spacing w:before="0" w:beforeAutospacing="0" w:after="0" w:afterAutospacing="0" w:line="360" w:lineRule="auto"/>
        <w:ind w:firstLine="420" w:firstLineChars="200"/>
        <w:jc w:val="both"/>
        <w:rPr>
          <w:rFonts w:cs="宋体"/>
          <w:sz w:val="21"/>
          <w:szCs w:val="21"/>
        </w:rPr>
      </w:pPr>
      <w:r>
        <w:rPr>
          <w:rFonts w:hint="eastAsia" w:cs="宋体"/>
          <w:sz w:val="21"/>
          <w:szCs w:val="21"/>
        </w:rPr>
        <w:t>5、询问或者质疑事项可能影响成交结果的，采购人应当暂停签订合同，已经签订合同的，应当中止履行合同（成交结果的质疑期为成交结果公告期限届满之日起七个工作日）。</w:t>
      </w:r>
    </w:p>
    <w:p w14:paraId="6C935931">
      <w:pPr>
        <w:spacing w:line="360" w:lineRule="auto"/>
        <w:jc w:val="center"/>
        <w:rPr>
          <w:rFonts w:ascii="宋体" w:hAnsi="宋体" w:cs="宋体"/>
          <w:b/>
          <w:sz w:val="36"/>
          <w:szCs w:val="36"/>
        </w:rPr>
      </w:pPr>
    </w:p>
    <w:p w14:paraId="74191D26">
      <w:pPr>
        <w:spacing w:line="360" w:lineRule="auto"/>
        <w:jc w:val="center"/>
        <w:outlineLvl w:val="0"/>
        <w:rPr>
          <w:rFonts w:ascii="宋体" w:hAnsi="宋体" w:cs="宋体"/>
          <w:b/>
          <w:sz w:val="36"/>
          <w:szCs w:val="36"/>
        </w:rPr>
        <w:sectPr>
          <w:footnotePr>
            <w:numRestart w:val="eachPage"/>
          </w:footnotePr>
          <w:endnotePr>
            <w:numRestart w:val="eachSect"/>
          </w:endnotePr>
          <w:pgSz w:w="11907" w:h="16840"/>
          <w:pgMar w:top="1418" w:right="1418" w:bottom="1418" w:left="1588" w:header="851" w:footer="839" w:gutter="0"/>
          <w:cols w:space="720" w:num="1"/>
          <w:docGrid w:linePitch="435" w:charSpace="-6554"/>
        </w:sectPr>
      </w:pPr>
    </w:p>
    <w:p w14:paraId="2F8F7578">
      <w:pPr>
        <w:spacing w:line="360" w:lineRule="auto"/>
        <w:jc w:val="center"/>
        <w:outlineLvl w:val="0"/>
        <w:rPr>
          <w:rFonts w:ascii="宋体" w:hAnsi="宋体" w:cs="宋体"/>
          <w:b/>
          <w:sz w:val="36"/>
          <w:szCs w:val="36"/>
        </w:rPr>
      </w:pPr>
      <w:r>
        <w:rPr>
          <w:rFonts w:hint="eastAsia" w:ascii="宋体" w:hAnsi="宋体" w:cs="宋体"/>
          <w:b/>
          <w:sz w:val="36"/>
          <w:szCs w:val="36"/>
        </w:rPr>
        <w:t>第三章 评审办法及评审标准</w:t>
      </w:r>
    </w:p>
    <w:p w14:paraId="37EB6C1C">
      <w:pPr>
        <w:autoSpaceDE w:val="0"/>
        <w:autoSpaceDN w:val="0"/>
        <w:spacing w:line="360" w:lineRule="auto"/>
        <w:ind w:firstLine="420" w:firstLineChars="200"/>
        <w:jc w:val="left"/>
        <w:rPr>
          <w:rFonts w:ascii="宋体" w:hAnsi="宋体" w:cs="宋体"/>
          <w:b/>
          <w:i/>
          <w:kern w:val="0"/>
          <w:szCs w:val="21"/>
        </w:rPr>
      </w:pPr>
      <w:r>
        <w:rPr>
          <w:rFonts w:hint="eastAsia" w:ascii="宋体" w:hAnsi="宋体" w:cs="宋体"/>
          <w:kern w:val="0"/>
          <w:szCs w:val="21"/>
        </w:rPr>
        <w:t>一、采购组织机构将组织</w:t>
      </w:r>
      <w:r>
        <w:rPr>
          <w:rFonts w:hint="eastAsia" w:ascii="宋体" w:hAnsi="宋体" w:cs="宋体"/>
          <w:szCs w:val="21"/>
        </w:rPr>
        <w:t>磋商小组</w:t>
      </w:r>
      <w:r>
        <w:rPr>
          <w:rFonts w:hint="eastAsia" w:ascii="宋体" w:hAnsi="宋体" w:cs="宋体"/>
          <w:kern w:val="0"/>
          <w:szCs w:val="21"/>
        </w:rPr>
        <w:t>，对</w:t>
      </w:r>
      <w:r>
        <w:rPr>
          <w:rFonts w:hint="eastAsia" w:ascii="宋体" w:hAnsi="宋体" w:cs="宋体"/>
          <w:szCs w:val="21"/>
        </w:rPr>
        <w:t>供应商</w:t>
      </w:r>
      <w:r>
        <w:rPr>
          <w:rFonts w:hint="eastAsia" w:ascii="宋体" w:hAnsi="宋体" w:cs="宋体"/>
          <w:kern w:val="0"/>
          <w:szCs w:val="21"/>
        </w:rPr>
        <w:t>提供的</w:t>
      </w:r>
      <w:r>
        <w:rPr>
          <w:rFonts w:hint="eastAsia" w:ascii="宋体" w:hAnsi="宋体" w:cs="宋体"/>
          <w:szCs w:val="21"/>
        </w:rPr>
        <w:t>磋商响应文件</w:t>
      </w:r>
      <w:r>
        <w:rPr>
          <w:rFonts w:hint="eastAsia" w:ascii="宋体" w:hAnsi="宋体" w:cs="宋体"/>
          <w:kern w:val="0"/>
          <w:szCs w:val="21"/>
        </w:rPr>
        <w:t xml:space="preserve">进行综合评审。   </w:t>
      </w:r>
    </w:p>
    <w:p w14:paraId="029E1DDA">
      <w:pPr>
        <w:autoSpaceDE w:val="0"/>
        <w:autoSpaceDN w:val="0"/>
        <w:spacing w:line="360" w:lineRule="auto"/>
        <w:ind w:firstLine="420" w:firstLineChars="200"/>
        <w:jc w:val="left"/>
        <w:rPr>
          <w:rFonts w:ascii="宋体" w:hAnsi="宋体" w:cs="宋体"/>
          <w:kern w:val="0"/>
          <w:szCs w:val="21"/>
        </w:rPr>
      </w:pPr>
      <w:r>
        <w:rPr>
          <w:rFonts w:hint="eastAsia" w:ascii="宋体" w:hAnsi="宋体" w:cs="宋体"/>
          <w:kern w:val="0"/>
          <w:szCs w:val="21"/>
        </w:rPr>
        <w:t>二、本次磋商项目的评审方法为</w:t>
      </w:r>
      <w:r>
        <w:rPr>
          <w:rFonts w:hint="eastAsia" w:ascii="宋体" w:hAnsi="宋体" w:cs="宋体"/>
          <w:b/>
          <w:kern w:val="0"/>
          <w:szCs w:val="21"/>
        </w:rPr>
        <w:t>综合评分法</w:t>
      </w:r>
      <w:r>
        <w:rPr>
          <w:rFonts w:hint="eastAsia" w:ascii="宋体" w:hAnsi="宋体" w:cs="宋体"/>
          <w:kern w:val="0"/>
          <w:szCs w:val="21"/>
        </w:rPr>
        <w:t>，总计100分，</w:t>
      </w:r>
      <w:r>
        <w:rPr>
          <w:rFonts w:hint="eastAsia" w:ascii="宋体" w:hAnsi="宋体" w:cs="宋体"/>
          <w:szCs w:val="21"/>
        </w:rPr>
        <w:t>其中</w:t>
      </w:r>
      <w:r>
        <w:rPr>
          <w:rFonts w:hint="eastAsia" w:ascii="宋体" w:hAnsi="宋体" w:cs="宋体"/>
          <w:szCs w:val="21"/>
          <w:lang w:val="zh-CN"/>
        </w:rPr>
        <w:t>商务技术分值</w:t>
      </w:r>
      <w:r>
        <w:rPr>
          <w:rFonts w:hint="eastAsia" w:ascii="宋体" w:hAnsi="宋体" w:cs="宋体"/>
          <w:szCs w:val="21"/>
        </w:rPr>
        <w:t>80</w:t>
      </w:r>
      <w:r>
        <w:rPr>
          <w:rFonts w:hint="eastAsia" w:ascii="宋体" w:hAnsi="宋体" w:cs="宋体"/>
          <w:szCs w:val="21"/>
          <w:lang w:val="zh-CN"/>
        </w:rPr>
        <w:t>分，投标报价分值</w:t>
      </w:r>
      <w:r>
        <w:rPr>
          <w:rFonts w:hint="eastAsia" w:ascii="宋体" w:hAnsi="宋体" w:cs="宋体"/>
          <w:szCs w:val="21"/>
        </w:rPr>
        <w:t>20</w:t>
      </w:r>
      <w:r>
        <w:rPr>
          <w:rFonts w:hint="eastAsia" w:ascii="宋体" w:hAnsi="宋体" w:cs="宋体"/>
          <w:szCs w:val="21"/>
          <w:lang w:val="zh-CN"/>
        </w:rPr>
        <w:t>分</w:t>
      </w:r>
      <w:r>
        <w:rPr>
          <w:rFonts w:hint="eastAsia" w:ascii="宋体" w:hAnsi="宋体" w:cs="宋体"/>
          <w:szCs w:val="21"/>
        </w:rPr>
        <w:t>。</w:t>
      </w:r>
      <w:r>
        <w:rPr>
          <w:rFonts w:hint="eastAsia" w:ascii="宋体" w:hAnsi="宋体" w:cs="宋体"/>
          <w:kern w:val="0"/>
          <w:szCs w:val="21"/>
        </w:rPr>
        <w:t>评审标准按评分细化条款及分值进行评审。</w:t>
      </w:r>
    </w:p>
    <w:p w14:paraId="6FCCCAEC">
      <w:pPr>
        <w:autoSpaceDE w:val="0"/>
        <w:autoSpaceDN w:val="0"/>
        <w:spacing w:line="360" w:lineRule="auto"/>
        <w:ind w:firstLine="420" w:firstLineChars="200"/>
        <w:jc w:val="left"/>
        <w:rPr>
          <w:rFonts w:ascii="宋体" w:hAnsi="宋体" w:cs="宋体"/>
          <w:bCs/>
          <w:szCs w:val="21"/>
          <w:lang w:val="zh-CN"/>
        </w:rPr>
      </w:pPr>
      <w:r>
        <w:rPr>
          <w:rFonts w:hint="eastAsia" w:ascii="宋体" w:hAnsi="宋体" w:cs="宋体"/>
          <w:bCs/>
          <w:szCs w:val="21"/>
          <w:lang w:val="zh-CN"/>
        </w:rPr>
        <w:t>（一）商务技术文件中的客观分由</w:t>
      </w:r>
      <w:r>
        <w:rPr>
          <w:rFonts w:hint="eastAsia" w:ascii="宋体" w:hAnsi="宋体" w:cs="宋体"/>
          <w:szCs w:val="21"/>
        </w:rPr>
        <w:t>磋商小组</w:t>
      </w:r>
      <w:r>
        <w:rPr>
          <w:rFonts w:hint="eastAsia" w:ascii="宋体" w:hAnsi="宋体" w:cs="宋体"/>
          <w:bCs/>
          <w:szCs w:val="21"/>
          <w:lang w:val="zh-CN"/>
        </w:rPr>
        <w:t>讨论后统一打分；其余在规定的分值内单独评定打分</w:t>
      </w:r>
      <w:r>
        <w:rPr>
          <w:rFonts w:hint="eastAsia" w:ascii="宋体" w:hAnsi="宋体" w:cs="宋体"/>
          <w:szCs w:val="21"/>
        </w:rPr>
        <w:t>（小数点后保留1位）</w:t>
      </w:r>
      <w:r>
        <w:rPr>
          <w:rFonts w:hint="eastAsia" w:ascii="宋体" w:hAnsi="宋体" w:cs="宋体"/>
          <w:bCs/>
          <w:szCs w:val="21"/>
          <w:lang w:val="zh-CN"/>
        </w:rPr>
        <w:t>。</w:t>
      </w:r>
    </w:p>
    <w:p w14:paraId="69A6995D">
      <w:pPr>
        <w:autoSpaceDE w:val="0"/>
        <w:autoSpaceDN w:val="0"/>
        <w:spacing w:line="360" w:lineRule="auto"/>
        <w:ind w:firstLine="420" w:firstLineChars="200"/>
        <w:jc w:val="left"/>
        <w:rPr>
          <w:rFonts w:ascii="宋体" w:hAnsi="宋体" w:cs="宋体"/>
          <w:bCs/>
          <w:szCs w:val="21"/>
          <w:shd w:val="clear" w:color="FFFFFF" w:fill="D9D9D9"/>
          <w:lang w:val="zh-CN"/>
        </w:rPr>
      </w:pPr>
      <w:r>
        <w:rPr>
          <w:rFonts w:hint="eastAsia" w:ascii="宋体" w:hAnsi="宋体" w:cs="宋体"/>
          <w:bCs/>
          <w:szCs w:val="21"/>
          <w:lang w:val="zh-CN"/>
        </w:rPr>
        <w:t>（二）各磋商供应商商务技术文件</w:t>
      </w:r>
      <w:r>
        <w:rPr>
          <w:rFonts w:hint="eastAsia" w:ascii="宋体" w:hAnsi="宋体" w:cs="宋体"/>
          <w:szCs w:val="21"/>
        </w:rPr>
        <w:t>得分</w:t>
      </w:r>
      <w:r>
        <w:rPr>
          <w:rFonts w:hint="eastAsia" w:ascii="宋体" w:hAnsi="宋体" w:cs="宋体"/>
          <w:kern w:val="0"/>
          <w:szCs w:val="21"/>
          <w:lang w:val="zh-CN"/>
        </w:rPr>
        <w:t>按照</w:t>
      </w:r>
      <w:r>
        <w:rPr>
          <w:rFonts w:hint="eastAsia" w:ascii="宋体" w:hAnsi="宋体" w:cs="宋体"/>
          <w:szCs w:val="21"/>
        </w:rPr>
        <w:t>磋商小组</w:t>
      </w:r>
      <w:r>
        <w:rPr>
          <w:rFonts w:hint="eastAsia" w:ascii="宋体" w:hAnsi="宋体" w:cs="宋体"/>
          <w:kern w:val="0"/>
          <w:szCs w:val="21"/>
          <w:lang w:val="zh-CN"/>
        </w:rPr>
        <w:t>成</w:t>
      </w:r>
      <w:r>
        <w:rPr>
          <w:rFonts w:hint="eastAsia" w:ascii="宋体" w:hAnsi="宋体" w:cs="宋体"/>
          <w:bCs/>
          <w:szCs w:val="21"/>
          <w:lang w:val="zh-CN"/>
        </w:rPr>
        <w:t>员的独立评分结果汇总后的算术平均分计算</w:t>
      </w:r>
      <w:r>
        <w:rPr>
          <w:rFonts w:hint="eastAsia" w:ascii="宋体" w:hAnsi="宋体" w:cs="宋体"/>
          <w:szCs w:val="21"/>
        </w:rPr>
        <w:t>（小数点后保留2位，四舍五入）</w:t>
      </w:r>
      <w:r>
        <w:rPr>
          <w:rFonts w:hint="eastAsia" w:ascii="宋体" w:hAnsi="宋体" w:cs="宋体"/>
          <w:bCs/>
          <w:szCs w:val="21"/>
          <w:lang w:val="zh-CN"/>
        </w:rPr>
        <w:t>，计算公式为：</w:t>
      </w:r>
    </w:p>
    <w:p w14:paraId="5A99137F">
      <w:pPr>
        <w:autoSpaceDE w:val="0"/>
        <w:autoSpaceDN w:val="0"/>
        <w:spacing w:line="360" w:lineRule="auto"/>
        <w:ind w:firstLine="422" w:firstLineChars="200"/>
        <w:jc w:val="left"/>
        <w:rPr>
          <w:rFonts w:ascii="宋体" w:hAnsi="宋体" w:cs="宋体"/>
          <w:b/>
          <w:bCs/>
          <w:szCs w:val="21"/>
          <w:u w:val="single"/>
          <w:shd w:val="clear" w:color="FFFFFF" w:fill="D9D9D9"/>
          <w:lang w:val="zh-CN"/>
        </w:rPr>
      </w:pPr>
      <w:r>
        <w:rPr>
          <w:rFonts w:hint="eastAsia" w:ascii="宋体" w:hAnsi="宋体" w:cs="宋体"/>
          <w:b/>
          <w:szCs w:val="21"/>
          <w:u w:val="single"/>
          <w:lang w:val="zh-CN"/>
        </w:rPr>
        <w:t>商务技术文件</w:t>
      </w:r>
      <w:r>
        <w:rPr>
          <w:rFonts w:hint="eastAsia" w:ascii="宋体" w:hAnsi="宋体" w:cs="宋体"/>
          <w:b/>
          <w:bCs/>
          <w:szCs w:val="21"/>
          <w:u w:val="single"/>
        </w:rPr>
        <w:t>得分</w:t>
      </w:r>
      <w:r>
        <w:rPr>
          <w:rFonts w:hint="eastAsia" w:ascii="宋体" w:hAnsi="宋体" w:cs="宋体"/>
          <w:b/>
          <w:bCs/>
          <w:szCs w:val="21"/>
          <w:u w:val="single"/>
          <w:lang w:val="zh-CN"/>
        </w:rPr>
        <w:t>=</w:t>
      </w:r>
      <w:r>
        <w:rPr>
          <w:rFonts w:hint="eastAsia" w:ascii="宋体" w:hAnsi="宋体" w:cs="宋体"/>
          <w:b/>
          <w:bCs/>
          <w:szCs w:val="21"/>
          <w:u w:val="single"/>
        </w:rPr>
        <w:t>磋商小组</w:t>
      </w:r>
      <w:r>
        <w:rPr>
          <w:rFonts w:hint="eastAsia" w:ascii="宋体" w:hAnsi="宋体" w:cs="宋体"/>
          <w:b/>
          <w:bCs/>
          <w:szCs w:val="21"/>
          <w:u w:val="single"/>
          <w:lang w:val="zh-CN"/>
        </w:rPr>
        <w:t>所有成员评分合计数/</w:t>
      </w:r>
      <w:r>
        <w:rPr>
          <w:rFonts w:hint="eastAsia" w:ascii="宋体" w:hAnsi="宋体" w:cs="宋体"/>
          <w:b/>
          <w:bCs/>
          <w:szCs w:val="21"/>
          <w:u w:val="single"/>
        </w:rPr>
        <w:t>磋商小组</w:t>
      </w:r>
      <w:r>
        <w:rPr>
          <w:rFonts w:hint="eastAsia" w:ascii="宋体" w:hAnsi="宋体" w:cs="宋体"/>
          <w:b/>
          <w:bCs/>
          <w:szCs w:val="21"/>
          <w:u w:val="single"/>
          <w:lang w:val="zh-CN"/>
        </w:rPr>
        <w:t>组成人员数。</w:t>
      </w:r>
    </w:p>
    <w:p w14:paraId="469D17A8">
      <w:pPr>
        <w:autoSpaceDE w:val="0"/>
        <w:autoSpaceDN w:val="0"/>
        <w:adjustRightInd w:val="0"/>
        <w:spacing w:line="360" w:lineRule="auto"/>
        <w:ind w:right="85" w:firstLine="420" w:firstLineChars="200"/>
        <w:rPr>
          <w:rFonts w:ascii="宋体" w:hAnsi="宋体" w:cs="宋体"/>
          <w:szCs w:val="21"/>
          <w:lang w:val="zh-CN"/>
        </w:rPr>
      </w:pPr>
      <w:r>
        <w:rPr>
          <w:rFonts w:hint="eastAsia" w:ascii="宋体" w:hAnsi="宋体" w:cs="宋体"/>
          <w:bCs/>
          <w:szCs w:val="21"/>
          <w:lang w:val="zh-CN"/>
        </w:rPr>
        <w:t>（三）</w:t>
      </w:r>
      <w:r>
        <w:rPr>
          <w:rFonts w:hint="eastAsia" w:ascii="宋体" w:hAnsi="宋体" w:cs="宋体"/>
          <w:szCs w:val="21"/>
          <w:lang w:val="zh-CN"/>
        </w:rPr>
        <w:t>投标报价分按照</w:t>
      </w:r>
      <w:r>
        <w:rPr>
          <w:rFonts w:hint="eastAsia" w:ascii="宋体" w:hAnsi="宋体" w:cs="宋体"/>
          <w:szCs w:val="21"/>
        </w:rPr>
        <w:t>下表</w:t>
      </w:r>
      <w:r>
        <w:rPr>
          <w:rFonts w:hint="eastAsia" w:ascii="宋体" w:hAnsi="宋体" w:cs="宋体"/>
          <w:szCs w:val="21"/>
          <w:lang w:val="zh-CN"/>
        </w:rPr>
        <w:t>计算：</w:t>
      </w:r>
    </w:p>
    <w:tbl>
      <w:tblPr>
        <w:tblStyle w:val="23"/>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93"/>
        <w:gridCol w:w="919"/>
        <w:gridCol w:w="5784"/>
      </w:tblGrid>
      <w:tr w14:paraId="1252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16" w:type="dxa"/>
            <w:shd w:val="clear" w:color="auto" w:fill="auto"/>
            <w:vAlign w:val="center"/>
          </w:tcPr>
          <w:p w14:paraId="7C2913AB">
            <w:pPr>
              <w:widowControl/>
              <w:jc w:val="center"/>
              <w:textAlignment w:val="center"/>
              <w:rPr>
                <w:rFonts w:ascii="宋体" w:hAnsi="宋体" w:cs="宋体"/>
                <w:kern w:val="0"/>
                <w:szCs w:val="21"/>
                <w:lang w:bidi="ar"/>
              </w:rPr>
            </w:pPr>
            <w:r>
              <w:rPr>
                <w:rFonts w:hint="eastAsia" w:ascii="宋体" w:hAnsi="宋体" w:cs="宋体"/>
                <w:kern w:val="0"/>
                <w:szCs w:val="21"/>
                <w:lang w:bidi="ar"/>
              </w:rPr>
              <w:t>价格分</w:t>
            </w:r>
          </w:p>
          <w:p w14:paraId="43BD4132">
            <w:pPr>
              <w:widowControl/>
              <w:jc w:val="center"/>
              <w:textAlignment w:val="center"/>
              <w:rPr>
                <w:rFonts w:ascii="宋体" w:hAnsi="宋体" w:cs="宋体"/>
                <w:kern w:val="0"/>
                <w:szCs w:val="21"/>
                <w:lang w:bidi="ar"/>
              </w:rPr>
            </w:pPr>
            <w:r>
              <w:rPr>
                <w:rFonts w:hint="eastAsia" w:ascii="宋体" w:hAnsi="宋体" w:cs="宋体"/>
                <w:kern w:val="0"/>
                <w:szCs w:val="21"/>
                <w:lang w:bidi="ar"/>
              </w:rPr>
              <w:t>（</w:t>
            </w:r>
            <w:r>
              <w:rPr>
                <w:rFonts w:hint="eastAsia" w:ascii="宋体" w:hAnsi="宋体" w:cs="宋体"/>
                <w:kern w:val="0"/>
                <w:szCs w:val="21"/>
                <w:lang w:val="en-US" w:eastAsia="zh-CN" w:bidi="ar"/>
              </w:rPr>
              <w:t>2</w:t>
            </w:r>
            <w:r>
              <w:rPr>
                <w:rFonts w:hint="eastAsia" w:ascii="宋体" w:hAnsi="宋体" w:cs="宋体"/>
                <w:kern w:val="0"/>
                <w:szCs w:val="21"/>
                <w:lang w:bidi="ar"/>
              </w:rPr>
              <w:t>0分）</w:t>
            </w:r>
          </w:p>
        </w:tc>
        <w:tc>
          <w:tcPr>
            <w:tcW w:w="1293" w:type="dxa"/>
            <w:shd w:val="clear" w:color="auto" w:fill="auto"/>
            <w:vAlign w:val="center"/>
          </w:tcPr>
          <w:p w14:paraId="7BC56BA2">
            <w:pPr>
              <w:widowControl/>
              <w:jc w:val="center"/>
              <w:textAlignment w:val="center"/>
              <w:rPr>
                <w:rFonts w:ascii="宋体" w:hAnsi="宋体" w:cs="宋体"/>
                <w:kern w:val="0"/>
                <w:szCs w:val="21"/>
                <w:lang w:bidi="ar"/>
              </w:rPr>
            </w:pPr>
            <w:r>
              <w:rPr>
                <w:rFonts w:hint="eastAsia" w:ascii="宋体" w:hAnsi="宋体" w:cs="宋体"/>
                <w:kern w:val="0"/>
                <w:szCs w:val="21"/>
                <w:lang w:bidi="ar"/>
              </w:rPr>
              <w:t>拟推荐的集合计划</w:t>
            </w:r>
            <w:r>
              <w:rPr>
                <w:rFonts w:hint="eastAsia" w:ascii="宋体" w:hAnsi="宋体" w:cs="宋体"/>
                <w:kern w:val="0"/>
                <w:szCs w:val="21"/>
                <w:lang w:val="en-US" w:eastAsia="zh-CN" w:bidi="ar"/>
              </w:rPr>
              <w:t>受托</w:t>
            </w:r>
            <w:r>
              <w:rPr>
                <w:rFonts w:hint="eastAsia" w:ascii="宋体" w:hAnsi="宋体" w:cs="宋体"/>
                <w:kern w:val="0"/>
                <w:szCs w:val="21"/>
                <w:lang w:bidi="ar"/>
              </w:rPr>
              <w:t>管理费报价</w:t>
            </w:r>
          </w:p>
          <w:p w14:paraId="6DAEA2DE">
            <w:pPr>
              <w:widowControl/>
              <w:jc w:val="center"/>
              <w:textAlignment w:val="center"/>
              <w:rPr>
                <w:rFonts w:ascii="宋体" w:hAnsi="宋体" w:cs="宋体"/>
                <w:kern w:val="0"/>
                <w:szCs w:val="21"/>
                <w:lang w:bidi="ar"/>
              </w:rPr>
            </w:pPr>
            <w:r>
              <w:rPr>
                <w:rFonts w:hint="eastAsia" w:ascii="宋体" w:hAnsi="宋体" w:cs="宋体"/>
                <w:kern w:val="0"/>
                <w:szCs w:val="21"/>
                <w:lang w:bidi="ar"/>
              </w:rPr>
              <w:t>（</w:t>
            </w:r>
            <w:r>
              <w:rPr>
                <w:rFonts w:hint="eastAsia" w:ascii="宋体" w:hAnsi="宋体" w:cs="宋体"/>
                <w:kern w:val="0"/>
                <w:szCs w:val="21"/>
                <w:lang w:val="en-US" w:eastAsia="zh-CN" w:bidi="ar"/>
              </w:rPr>
              <w:t>2</w:t>
            </w:r>
            <w:r>
              <w:rPr>
                <w:rFonts w:hint="eastAsia" w:ascii="宋体" w:hAnsi="宋体" w:cs="宋体"/>
                <w:kern w:val="0"/>
                <w:szCs w:val="21"/>
                <w:lang w:bidi="ar"/>
              </w:rPr>
              <w:t>0分）</w:t>
            </w:r>
          </w:p>
        </w:tc>
        <w:tc>
          <w:tcPr>
            <w:tcW w:w="919" w:type="dxa"/>
            <w:shd w:val="clear" w:color="auto" w:fill="auto"/>
            <w:vAlign w:val="center"/>
          </w:tcPr>
          <w:p w14:paraId="2B0948B4">
            <w:pPr>
              <w:widowControl/>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20</w:t>
            </w:r>
          </w:p>
        </w:tc>
        <w:tc>
          <w:tcPr>
            <w:tcW w:w="5784" w:type="dxa"/>
            <w:shd w:val="clear" w:color="auto" w:fill="auto"/>
            <w:vAlign w:val="center"/>
          </w:tcPr>
          <w:p w14:paraId="0A14EE88">
            <w:pPr>
              <w:widowControl/>
              <w:jc w:val="left"/>
              <w:textAlignment w:val="center"/>
              <w:rPr>
                <w:rFonts w:ascii="宋体" w:hAnsi="宋体" w:cs="宋体"/>
                <w:kern w:val="0"/>
                <w:szCs w:val="21"/>
                <w:lang w:bidi="ar"/>
              </w:rPr>
            </w:pPr>
            <w:r>
              <w:rPr>
                <w:rFonts w:hint="eastAsia" w:ascii="宋体" w:hAnsi="宋体" w:cs="宋体"/>
                <w:kern w:val="0"/>
                <w:szCs w:val="21"/>
                <w:lang w:val="en-US" w:eastAsia="zh-CN" w:bidi="ar"/>
              </w:rPr>
              <w:t>根据推荐集合计划的受托管理费率，</w:t>
            </w:r>
            <w:r>
              <w:rPr>
                <w:rFonts w:hint="eastAsia" w:ascii="宋体" w:hAnsi="宋体" w:cs="宋体"/>
                <w:kern w:val="0"/>
                <w:szCs w:val="21"/>
                <w:lang w:bidi="ar"/>
              </w:rPr>
              <w:t>从低至高排名，第一名得</w:t>
            </w:r>
            <w:r>
              <w:rPr>
                <w:rFonts w:hint="eastAsia" w:ascii="宋体" w:hAnsi="宋体" w:cs="宋体"/>
                <w:kern w:val="0"/>
                <w:szCs w:val="21"/>
                <w:lang w:val="en-US" w:eastAsia="zh-CN" w:bidi="ar"/>
              </w:rPr>
              <w:t>20</w:t>
            </w:r>
            <w:r>
              <w:rPr>
                <w:rFonts w:hint="eastAsia" w:ascii="宋体" w:hAnsi="宋体" w:cs="宋体"/>
                <w:kern w:val="0"/>
                <w:szCs w:val="21"/>
                <w:lang w:bidi="ar"/>
              </w:rPr>
              <w:t>分，每降一名扣</w:t>
            </w:r>
            <w:r>
              <w:rPr>
                <w:rFonts w:hint="eastAsia" w:ascii="宋体" w:hAnsi="宋体" w:cs="宋体"/>
                <w:kern w:val="0"/>
                <w:szCs w:val="21"/>
                <w:lang w:val="en-US" w:eastAsia="zh-CN" w:bidi="ar"/>
              </w:rPr>
              <w:t>1</w:t>
            </w:r>
            <w:r>
              <w:rPr>
                <w:rFonts w:hint="eastAsia" w:ascii="宋体" w:hAnsi="宋体" w:cs="宋体"/>
                <w:kern w:val="0"/>
                <w:szCs w:val="21"/>
                <w:lang w:bidi="ar"/>
              </w:rPr>
              <w:t>分，直至0分。</w:t>
            </w:r>
            <w:r>
              <w:rPr>
                <w:rFonts w:hint="eastAsia" w:ascii="宋体" w:hAnsi="宋体" w:cs="宋体"/>
                <w:b/>
                <w:bCs/>
                <w:kern w:val="0"/>
                <w:szCs w:val="21"/>
                <w:lang w:bidi="ar"/>
              </w:rPr>
              <w:t>（需经人社部报备通过并写进合同）</w:t>
            </w:r>
          </w:p>
        </w:tc>
      </w:tr>
    </w:tbl>
    <w:p w14:paraId="1FEA7A02">
      <w:pPr>
        <w:autoSpaceDE w:val="0"/>
        <w:autoSpaceDN w:val="0"/>
        <w:spacing w:line="360" w:lineRule="auto"/>
        <w:ind w:firstLine="420" w:firstLineChars="200"/>
        <w:jc w:val="left"/>
        <w:rPr>
          <w:rFonts w:ascii="宋体" w:hAnsi="宋体" w:cs="宋体"/>
          <w:szCs w:val="21"/>
          <w:lang w:val="zh-CN"/>
        </w:rPr>
      </w:pPr>
    </w:p>
    <w:p w14:paraId="6FA60B5F">
      <w:pPr>
        <w:autoSpaceDE w:val="0"/>
        <w:autoSpaceDN w:val="0"/>
        <w:spacing w:line="360" w:lineRule="auto"/>
        <w:ind w:firstLine="420" w:firstLineChars="200"/>
        <w:jc w:val="left"/>
        <w:rPr>
          <w:rFonts w:ascii="宋体" w:hAnsi="宋体" w:cs="宋体"/>
          <w:szCs w:val="21"/>
          <w:lang w:val="zh-CN"/>
        </w:rPr>
      </w:pPr>
      <w:r>
        <w:rPr>
          <w:rFonts w:hint="eastAsia" w:ascii="宋体" w:hAnsi="宋体" w:cs="宋体"/>
          <w:szCs w:val="21"/>
          <w:lang w:val="zh-CN"/>
        </w:rPr>
        <w:t>（四）</w:t>
      </w:r>
      <w:r>
        <w:rPr>
          <w:rFonts w:hint="eastAsia" w:ascii="宋体" w:hAnsi="宋体" w:cs="宋体"/>
          <w:bCs/>
          <w:szCs w:val="21"/>
          <w:lang w:val="zh-CN"/>
        </w:rPr>
        <w:t>磋商供应商</w:t>
      </w:r>
      <w:r>
        <w:rPr>
          <w:rFonts w:hint="eastAsia" w:ascii="宋体" w:hAnsi="宋体" w:cs="宋体"/>
          <w:szCs w:val="21"/>
          <w:lang w:val="zh-CN"/>
        </w:rPr>
        <w:t>综合得分＝商务技术文件得分＋投标报价得分。</w:t>
      </w:r>
    </w:p>
    <w:p w14:paraId="7FE834DE">
      <w:pPr>
        <w:autoSpaceDE w:val="0"/>
        <w:autoSpaceDN w:val="0"/>
        <w:spacing w:line="360" w:lineRule="auto"/>
        <w:ind w:firstLine="420" w:firstLineChars="200"/>
        <w:jc w:val="left"/>
        <w:rPr>
          <w:rFonts w:ascii="宋体" w:hAnsi="宋体" w:cs="宋体"/>
          <w:szCs w:val="21"/>
          <w:lang w:val="zh-CN"/>
        </w:rPr>
      </w:pPr>
      <w:r>
        <w:rPr>
          <w:rFonts w:hint="eastAsia" w:ascii="宋体" w:hAnsi="宋体" w:cs="宋体"/>
          <w:szCs w:val="21"/>
          <w:lang w:val="zh-CN"/>
        </w:rPr>
        <w:t>三、在最大限度地满足磋商文件实质性要求前提下，</w:t>
      </w:r>
      <w:r>
        <w:rPr>
          <w:rFonts w:hint="eastAsia" w:ascii="宋体" w:hAnsi="宋体" w:cs="宋体"/>
          <w:szCs w:val="21"/>
        </w:rPr>
        <w:t>磋商小组</w:t>
      </w:r>
      <w:r>
        <w:rPr>
          <w:rFonts w:hint="eastAsia" w:ascii="宋体" w:hAnsi="宋体" w:cs="宋体"/>
          <w:szCs w:val="21"/>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63B80109">
      <w:pPr>
        <w:autoSpaceDE w:val="0"/>
        <w:autoSpaceDN w:val="0"/>
        <w:spacing w:line="360" w:lineRule="auto"/>
        <w:ind w:firstLine="420" w:firstLineChars="200"/>
        <w:jc w:val="left"/>
        <w:rPr>
          <w:rFonts w:ascii="宋体" w:hAnsi="宋体" w:cs="宋体"/>
          <w:szCs w:val="21"/>
          <w:lang w:val="zh-CN"/>
        </w:rPr>
      </w:pPr>
      <w:r>
        <w:rPr>
          <w:rFonts w:hint="eastAsia" w:ascii="宋体" w:hAnsi="宋体" w:cs="宋体"/>
          <w:szCs w:val="21"/>
          <w:lang w:val="zh-CN"/>
        </w:rPr>
        <w:t>四、如综合得分相同，最后报价低者为先；如综合得分且最后报价相同的，以</w:t>
      </w:r>
      <w:r>
        <w:rPr>
          <w:rFonts w:hint="eastAsia" w:ascii="宋体" w:hAnsi="宋体" w:cs="宋体"/>
          <w:szCs w:val="21"/>
        </w:rPr>
        <w:t>商务分</w:t>
      </w:r>
      <w:r>
        <w:rPr>
          <w:rFonts w:hint="eastAsia" w:ascii="宋体" w:hAnsi="宋体" w:cs="宋体"/>
          <w:szCs w:val="21"/>
          <w:lang w:val="zh-CN"/>
        </w:rPr>
        <w:t>得分较高者为先。</w:t>
      </w:r>
    </w:p>
    <w:p w14:paraId="09AD146F">
      <w:pPr>
        <w:autoSpaceDE w:val="0"/>
        <w:autoSpaceDN w:val="0"/>
        <w:spacing w:line="360" w:lineRule="auto"/>
        <w:ind w:firstLine="420" w:firstLineChars="200"/>
        <w:jc w:val="left"/>
        <w:rPr>
          <w:rFonts w:ascii="宋体" w:hAnsi="宋体" w:cs="宋体"/>
          <w:kern w:val="0"/>
          <w:szCs w:val="21"/>
        </w:rPr>
      </w:pPr>
      <w:r>
        <w:rPr>
          <w:rFonts w:hint="eastAsia" w:ascii="宋体" w:hAnsi="宋体" w:cs="宋体"/>
          <w:kern w:val="0"/>
          <w:szCs w:val="21"/>
        </w:rPr>
        <w:t>五、本次评分具体分值细化条款如下表：</w:t>
      </w:r>
    </w:p>
    <w:p w14:paraId="4F5A5F57">
      <w:pPr>
        <w:spacing w:line="300" w:lineRule="exact"/>
        <w:ind w:firstLine="422" w:firstLineChars="200"/>
        <w:jc w:val="center"/>
        <w:rPr>
          <w:rFonts w:ascii="宋体" w:hAnsi="宋体" w:cs="宋体"/>
          <w:b/>
          <w:szCs w:val="21"/>
        </w:rPr>
      </w:pPr>
      <w:r>
        <w:rPr>
          <w:rFonts w:hint="eastAsia" w:ascii="宋体" w:hAnsi="宋体" w:cs="宋体"/>
          <w:b/>
          <w:szCs w:val="21"/>
        </w:rPr>
        <w:t>评标打分标准</w:t>
      </w:r>
    </w:p>
    <w:tbl>
      <w:tblPr>
        <w:tblStyle w:val="23"/>
        <w:tblW w:w="10200"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033"/>
        <w:gridCol w:w="950"/>
        <w:gridCol w:w="733"/>
        <w:gridCol w:w="6584"/>
      </w:tblGrid>
      <w:tr w14:paraId="09A6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E172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评分项目</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0F9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评选细目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2D0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6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88E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评分标准</w:t>
            </w:r>
          </w:p>
        </w:tc>
      </w:tr>
      <w:tr w14:paraId="184B0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A4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商务分（1</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C2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公司综合实力   （1</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D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注册资本</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F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C4B0">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投标人注册资本按照银行机构和保险机构分别打分：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保险类投标人注册资本金大于100亿(含），银行类投标人注册资本大于等于3000亿(含）</w:t>
            </w:r>
            <w:r>
              <w:rPr>
                <w:rFonts w:hint="eastAsia" w:ascii="宋体" w:hAnsi="宋体" w:cs="宋体"/>
                <w:i w:val="0"/>
                <w:iCs w:val="0"/>
                <w:color w:val="000000"/>
                <w:kern w:val="0"/>
                <w:sz w:val="21"/>
                <w:szCs w:val="21"/>
                <w:u w:val="none"/>
                <w:lang w:val="en-US" w:eastAsia="zh-CN" w:bidi="ar"/>
              </w:rPr>
              <w:t>，得5分</w:t>
            </w:r>
          </w:p>
          <w:p w14:paraId="044C68E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保险类投标人注册资本金大于50亿(含），银行类投标人注册资本大于等于2000亿(含）</w:t>
            </w:r>
            <w:r>
              <w:rPr>
                <w:rFonts w:hint="eastAsia" w:ascii="宋体" w:hAnsi="宋体" w:cs="宋体"/>
                <w:i w:val="0"/>
                <w:iCs w:val="0"/>
                <w:color w:val="000000"/>
                <w:kern w:val="0"/>
                <w:sz w:val="21"/>
                <w:szCs w:val="21"/>
                <w:u w:val="none"/>
                <w:lang w:val="en-US" w:eastAsia="zh-CN" w:bidi="ar"/>
              </w:rPr>
              <w:t>，得3分</w:t>
            </w:r>
          </w:p>
          <w:p w14:paraId="3432E7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保险类投标人注册资金本50亿以下，银行类投标人注册资本2000亿以下</w:t>
            </w:r>
            <w:r>
              <w:rPr>
                <w:rFonts w:hint="eastAsia" w:ascii="宋体" w:hAnsi="宋体" w:cs="宋体"/>
                <w:i w:val="0"/>
                <w:iCs w:val="0"/>
                <w:color w:val="000000"/>
                <w:kern w:val="0"/>
                <w:sz w:val="21"/>
                <w:szCs w:val="21"/>
                <w:u w:val="none"/>
                <w:lang w:val="en-US" w:eastAsia="zh-CN" w:bidi="ar"/>
              </w:rPr>
              <w:t>，得1分</w:t>
            </w:r>
          </w:p>
        </w:tc>
      </w:tr>
      <w:tr w14:paraId="744E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C2C73">
            <w:pPr>
              <w:jc w:val="center"/>
              <w:rPr>
                <w:rFonts w:hint="eastAsia" w:ascii="宋体" w:hAnsi="宋体" w:eastAsia="宋体" w:cs="宋体"/>
                <w:i w:val="0"/>
                <w:iCs w:val="0"/>
                <w:color w:val="000000"/>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64395">
            <w:pPr>
              <w:jc w:val="center"/>
              <w:rPr>
                <w:rFonts w:hint="eastAsia" w:ascii="宋体" w:hAnsi="宋体" w:eastAsia="宋体" w:cs="宋体"/>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11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企业年金受托管理资格取得情况</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8A7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6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A5D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获得人社部颁发的企业年金受托管理资格时间：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1、超过15年（含）的得5分；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2、10（含）-15年的得3分；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3、5（含）-10年的得1分；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4、5年以下的得0分。</w:t>
            </w:r>
          </w:p>
        </w:tc>
      </w:tr>
      <w:tr w14:paraId="55408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36402">
            <w:pPr>
              <w:jc w:val="center"/>
              <w:rPr>
                <w:rFonts w:hint="eastAsia" w:ascii="宋体" w:hAnsi="宋体" w:eastAsia="宋体" w:cs="宋体"/>
                <w:i w:val="0"/>
                <w:iCs w:val="0"/>
                <w:color w:val="000000"/>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63122">
            <w:pPr>
              <w:jc w:val="center"/>
              <w:rPr>
                <w:rFonts w:hint="eastAsia" w:ascii="宋体" w:hAnsi="宋体" w:eastAsia="宋体" w:cs="宋体"/>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0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合规经营情况</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9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6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0AE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2022-2024年，公司未因企业年金受托业务受到监管部门处罚，得2分；</w:t>
            </w:r>
          </w:p>
          <w:p w14:paraId="302234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有受到相关处罚的，得0分。</w:t>
            </w:r>
          </w:p>
        </w:tc>
      </w:tr>
      <w:tr w14:paraId="3EAC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79F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68</w:t>
            </w:r>
            <w:r>
              <w:rPr>
                <w:rFonts w:hint="eastAsia" w:ascii="宋体" w:hAnsi="宋体" w:eastAsia="宋体" w:cs="宋体"/>
                <w:i w:val="0"/>
                <w:iCs w:val="0"/>
                <w:color w:val="000000"/>
                <w:kern w:val="0"/>
                <w:sz w:val="21"/>
                <w:szCs w:val="21"/>
                <w:u w:val="none"/>
                <w:lang w:val="en-US" w:eastAsia="zh-CN" w:bidi="ar"/>
              </w:rPr>
              <w:t>分）</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14:paraId="7DDC4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受托管理</w:t>
            </w:r>
            <w:r>
              <w:rPr>
                <w:rFonts w:hint="eastAsia" w:ascii="宋体" w:hAnsi="宋体" w:cs="宋体"/>
                <w:i w:val="0"/>
                <w:iCs w:val="0"/>
                <w:color w:val="000000"/>
                <w:kern w:val="0"/>
                <w:sz w:val="21"/>
                <w:szCs w:val="21"/>
                <w:u w:val="none"/>
                <w:lang w:val="en-US" w:eastAsia="zh-CN" w:bidi="ar"/>
              </w:rPr>
              <w:t>经验</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35</w:t>
            </w:r>
            <w:r>
              <w:rPr>
                <w:rFonts w:hint="eastAsia" w:ascii="宋体" w:hAnsi="宋体" w:eastAsia="宋体" w:cs="宋体"/>
                <w:i w:val="0"/>
                <w:iCs w:val="0"/>
                <w:color w:val="000000"/>
                <w:kern w:val="0"/>
                <w:sz w:val="21"/>
                <w:szCs w:val="21"/>
                <w:u w:val="none"/>
                <w:lang w:val="en-US" w:eastAsia="zh-CN" w:bidi="ar"/>
              </w:rPr>
              <w:t>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3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企业年金受托管理资产规模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997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6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0C8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根据各投标人在202</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年人社部公开披露《全国企业年金基金业务数据摘要》的受托管理规模情况打分：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1、大于等于4000亿元，得6分；</w:t>
            </w:r>
          </w:p>
          <w:p w14:paraId="3E20BD6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2、大于等于3000亿元，小于4000亿元，得4分；</w:t>
            </w:r>
          </w:p>
          <w:p w14:paraId="547EF33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3、大于等于2000亿元，小于3000亿元，得3分；</w:t>
            </w:r>
          </w:p>
          <w:p w14:paraId="4F9A322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4、大于等于1000亿元，小于2000亿元，得1分；</w:t>
            </w:r>
          </w:p>
          <w:p w14:paraId="62547A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5、小于1000亿元，不得分。</w:t>
            </w:r>
          </w:p>
        </w:tc>
      </w:tr>
      <w:tr w14:paraId="5A5C0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A52CE">
            <w:pPr>
              <w:jc w:val="center"/>
              <w:rPr>
                <w:rFonts w:hint="eastAsia" w:ascii="宋体" w:hAnsi="宋体" w:eastAsia="宋体" w:cs="宋体"/>
                <w:i w:val="0"/>
                <w:iCs w:val="0"/>
                <w:color w:val="000000"/>
                <w:sz w:val="21"/>
                <w:szCs w:val="21"/>
                <w:u w:val="none"/>
              </w:rPr>
            </w:pPr>
          </w:p>
        </w:tc>
        <w:tc>
          <w:tcPr>
            <w:tcW w:w="1033" w:type="dxa"/>
            <w:vMerge w:val="continue"/>
            <w:tcBorders>
              <w:left w:val="single" w:color="000000" w:sz="4" w:space="0"/>
              <w:right w:val="single" w:color="000000" w:sz="4" w:space="0"/>
            </w:tcBorders>
            <w:shd w:val="clear" w:color="auto" w:fill="auto"/>
            <w:vAlign w:val="center"/>
          </w:tcPr>
          <w:p w14:paraId="5C979270">
            <w:pPr>
              <w:jc w:val="center"/>
              <w:rPr>
                <w:rFonts w:hint="eastAsia" w:ascii="宋体" w:hAnsi="宋体" w:eastAsia="宋体" w:cs="宋体"/>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6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企业年金受托</w:t>
            </w:r>
            <w:r>
              <w:rPr>
                <w:rFonts w:hint="eastAsia" w:ascii="宋体" w:hAnsi="宋体" w:cs="宋体"/>
                <w:i w:val="0"/>
                <w:iCs w:val="0"/>
                <w:color w:val="000000"/>
                <w:kern w:val="0"/>
                <w:sz w:val="21"/>
                <w:szCs w:val="21"/>
                <w:u w:val="none"/>
                <w:lang w:val="en-US" w:eastAsia="zh-CN" w:bidi="ar"/>
              </w:rPr>
              <w:t>管理企业</w:t>
            </w:r>
            <w:r>
              <w:rPr>
                <w:rFonts w:hint="eastAsia" w:ascii="宋体" w:hAnsi="宋体" w:eastAsia="宋体" w:cs="宋体"/>
                <w:i w:val="0"/>
                <w:iCs w:val="0"/>
                <w:color w:val="000000"/>
                <w:kern w:val="0"/>
                <w:sz w:val="21"/>
                <w:szCs w:val="21"/>
                <w:u w:val="none"/>
                <w:lang w:val="en-US" w:eastAsia="zh-CN" w:bidi="ar"/>
              </w:rPr>
              <w:t>数量</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6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p>
        </w:tc>
        <w:tc>
          <w:tcPr>
            <w:tcW w:w="6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0FE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根据各投标人在202</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年人社部公开披露《全国企业年金基金业务数据摘要》的受托管理企业数量情况打分：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1、大于等于20000家，得6分；</w:t>
            </w:r>
          </w:p>
          <w:p w14:paraId="1BDC5AD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2、大于等于10000家，小于20000家，得4分；</w:t>
            </w:r>
          </w:p>
          <w:p w14:paraId="0A4D8A9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3、大于等于5000家，小于10000家，得3分；</w:t>
            </w:r>
          </w:p>
          <w:p w14:paraId="16CC15A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4、大于等于2500家，小于5000家，得1分；</w:t>
            </w:r>
          </w:p>
          <w:p w14:paraId="40886D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5、小于2500家，不得分。</w:t>
            </w:r>
          </w:p>
        </w:tc>
      </w:tr>
      <w:tr w14:paraId="238D1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B2983">
            <w:pPr>
              <w:jc w:val="center"/>
              <w:rPr>
                <w:rFonts w:hint="eastAsia" w:ascii="宋体" w:hAnsi="宋体" w:eastAsia="宋体" w:cs="宋体"/>
                <w:i w:val="0"/>
                <w:iCs w:val="0"/>
                <w:color w:val="000000"/>
                <w:sz w:val="21"/>
                <w:szCs w:val="21"/>
                <w:u w:val="none"/>
              </w:rPr>
            </w:pPr>
          </w:p>
        </w:tc>
        <w:tc>
          <w:tcPr>
            <w:tcW w:w="1033" w:type="dxa"/>
            <w:vMerge w:val="continue"/>
            <w:tcBorders>
              <w:left w:val="single" w:color="000000" w:sz="4" w:space="0"/>
              <w:right w:val="single" w:color="000000" w:sz="4" w:space="0"/>
            </w:tcBorders>
            <w:shd w:val="clear" w:color="auto" w:fill="auto"/>
            <w:vAlign w:val="center"/>
          </w:tcPr>
          <w:p w14:paraId="4E184A5C">
            <w:pPr>
              <w:jc w:val="center"/>
              <w:rPr>
                <w:rFonts w:hint="eastAsia" w:ascii="宋体" w:hAnsi="宋体" w:eastAsia="宋体" w:cs="宋体"/>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D379">
            <w:pPr>
              <w:keepNext w:val="0"/>
              <w:keepLines w:val="0"/>
              <w:widowControl/>
              <w:suppressLineNumbers w:val="0"/>
              <w:tabs>
                <w:tab w:val="left" w:pos="207"/>
              </w:tabs>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浙江省职业年金受托管理情况</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CB6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6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2C0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根据各投标人在浙江省职业年金受托管理机构中标情况打分：</w:t>
            </w:r>
          </w:p>
          <w:p w14:paraId="41503BB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1、第一梯队中标的得5分；</w:t>
            </w:r>
          </w:p>
          <w:p w14:paraId="7AD7D17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2、第二梯队中标的得3分；</w:t>
            </w:r>
          </w:p>
          <w:p w14:paraId="2D1778A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3、第三梯队中标的得1分；</w:t>
            </w:r>
          </w:p>
          <w:p w14:paraId="551FAA0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4、其他情况不得分。</w:t>
            </w:r>
          </w:p>
          <w:p w14:paraId="65894EE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需附上相关公示截图。</w:t>
            </w:r>
          </w:p>
        </w:tc>
      </w:tr>
      <w:tr w14:paraId="63E72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BD4BA">
            <w:pPr>
              <w:jc w:val="center"/>
              <w:rPr>
                <w:rFonts w:hint="eastAsia" w:ascii="宋体" w:hAnsi="宋体" w:eastAsia="宋体" w:cs="宋体"/>
                <w:i w:val="0"/>
                <w:iCs w:val="0"/>
                <w:color w:val="000000"/>
                <w:sz w:val="21"/>
                <w:szCs w:val="21"/>
                <w:u w:val="none"/>
              </w:rPr>
            </w:pPr>
          </w:p>
        </w:tc>
        <w:tc>
          <w:tcPr>
            <w:tcW w:w="1033" w:type="dxa"/>
            <w:vMerge w:val="continue"/>
            <w:tcBorders>
              <w:left w:val="single" w:color="000000" w:sz="4" w:space="0"/>
              <w:right w:val="single" w:color="000000" w:sz="4" w:space="0"/>
            </w:tcBorders>
            <w:shd w:val="clear" w:color="auto" w:fill="auto"/>
            <w:vAlign w:val="center"/>
          </w:tcPr>
          <w:p w14:paraId="6DDCF2B6">
            <w:pPr>
              <w:jc w:val="center"/>
              <w:rPr>
                <w:rFonts w:hint="eastAsia" w:ascii="宋体" w:hAnsi="宋体" w:eastAsia="宋体" w:cs="宋体"/>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9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集合计划管理规模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C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p>
        </w:tc>
        <w:tc>
          <w:tcPr>
            <w:tcW w:w="6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E3C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根据各投标人在202</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年人社部公开披露《全国企业年金基金业务数据摘要》的集合计划管理规模情况打分：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1、大于等于400亿，得6分；</w:t>
            </w:r>
          </w:p>
          <w:p w14:paraId="33F02A5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2、大于等于300亿，小于400亿，得4分；</w:t>
            </w:r>
          </w:p>
          <w:p w14:paraId="7B43387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3、大于等于200亿，小于300亿，得3分；</w:t>
            </w:r>
          </w:p>
          <w:p w14:paraId="34C55EE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4、大于等于100亿，小于200亿，得1分；</w:t>
            </w:r>
          </w:p>
          <w:p w14:paraId="1FE378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5、小于100亿，得0分。</w:t>
            </w:r>
          </w:p>
        </w:tc>
      </w:tr>
      <w:tr w14:paraId="154B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BAB9F">
            <w:pPr>
              <w:jc w:val="center"/>
              <w:rPr>
                <w:rFonts w:hint="eastAsia" w:ascii="宋体" w:hAnsi="宋体" w:eastAsia="宋体" w:cs="宋体"/>
                <w:i w:val="0"/>
                <w:iCs w:val="0"/>
                <w:color w:val="000000"/>
                <w:sz w:val="21"/>
                <w:szCs w:val="21"/>
                <w:u w:val="none"/>
              </w:rPr>
            </w:pPr>
          </w:p>
        </w:tc>
        <w:tc>
          <w:tcPr>
            <w:tcW w:w="1033" w:type="dxa"/>
            <w:vMerge w:val="continue"/>
            <w:tcBorders>
              <w:left w:val="single" w:color="000000" w:sz="4" w:space="0"/>
              <w:right w:val="single" w:color="000000" w:sz="4" w:space="0"/>
            </w:tcBorders>
            <w:shd w:val="clear" w:color="auto" w:fill="auto"/>
            <w:vAlign w:val="center"/>
          </w:tcPr>
          <w:p w14:paraId="7D387E7C">
            <w:pPr>
              <w:jc w:val="center"/>
              <w:rPr>
                <w:rFonts w:hint="eastAsia" w:ascii="宋体" w:hAnsi="宋体" w:eastAsia="宋体" w:cs="宋体"/>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EF3E">
            <w:pPr>
              <w:keepNext w:val="0"/>
              <w:keepLines w:val="0"/>
              <w:widowControl/>
              <w:suppressLineNumbers w:val="0"/>
              <w:tabs>
                <w:tab w:val="left" w:pos="357"/>
              </w:tabs>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受托管理集合计划业绩</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2E4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6584" w:type="dxa"/>
            <w:tcBorders>
              <w:top w:val="single" w:color="000000" w:sz="4" w:space="0"/>
              <w:left w:val="single" w:color="000000" w:sz="4" w:space="0"/>
              <w:bottom w:val="single" w:color="000000" w:sz="4" w:space="0"/>
              <w:right w:val="single" w:color="000000" w:sz="4" w:space="0"/>
            </w:tcBorders>
            <w:shd w:val="clear" w:color="auto" w:fill="auto"/>
            <w:vAlign w:val="top"/>
          </w:tcPr>
          <w:p w14:paraId="62DB3DBE">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根据各投标人受托管理的集合计划2022-2024年的历年综合收益率的简单平均收益率情况得分：</w:t>
            </w:r>
          </w:p>
          <w:p w14:paraId="51D9D602">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业绩排名第一的投标人得6分，其余按排名依次递减2分，最低0分。</w:t>
            </w:r>
          </w:p>
          <w:p w14:paraId="4EDD43AA">
            <w:pPr>
              <w:keepNext w:val="0"/>
              <w:keepLines w:val="0"/>
              <w:widowControl/>
              <w:suppressLineNumbers w:val="0"/>
              <w:jc w:val="both"/>
              <w:textAlignment w:val="bottom"/>
              <w:rPr>
                <w:rFonts w:hint="eastAsia" w:ascii="宋体" w:hAnsi="宋体" w:cs="宋体"/>
                <w:i w:val="0"/>
                <w:iCs w:val="0"/>
                <w:color w:val="000000"/>
                <w:kern w:val="0"/>
                <w:sz w:val="21"/>
                <w:szCs w:val="21"/>
                <w:u w:val="none"/>
                <w:lang w:val="en-US" w:eastAsia="zh-CN" w:bidi="ar"/>
              </w:rPr>
            </w:pPr>
          </w:p>
          <w:p w14:paraId="0F3B3C18">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注：</w:t>
            </w:r>
            <w:r>
              <w:rPr>
                <w:rFonts w:hint="eastAsia" w:ascii="宋体" w:hAnsi="宋体" w:eastAsia="宋体" w:cs="宋体"/>
                <w:i w:val="0"/>
                <w:iCs w:val="0"/>
                <w:color w:val="000000"/>
                <w:kern w:val="0"/>
                <w:sz w:val="21"/>
                <w:szCs w:val="21"/>
                <w:u w:val="none"/>
                <w:lang w:val="en-US" w:eastAsia="zh-CN" w:bidi="ar"/>
              </w:rPr>
              <w:t>集合计划综合收益率计算口径为人社部公布的2022-2024年《全国企业年金基金业务数据摘要》“6.集合计划管理情况表”中投标人受托管理的所有集合计划综合收益率的当年规模加权平均值</w:t>
            </w:r>
          </w:p>
        </w:tc>
      </w:tr>
      <w:tr w14:paraId="5E17B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34D19">
            <w:pPr>
              <w:jc w:val="center"/>
              <w:rPr>
                <w:rFonts w:hint="eastAsia" w:ascii="宋体" w:hAnsi="宋体" w:eastAsia="宋体" w:cs="宋体"/>
                <w:i w:val="0"/>
                <w:iCs w:val="0"/>
                <w:color w:val="000000"/>
                <w:sz w:val="21"/>
                <w:szCs w:val="21"/>
                <w:u w:val="none"/>
              </w:rPr>
            </w:pPr>
          </w:p>
        </w:tc>
        <w:tc>
          <w:tcPr>
            <w:tcW w:w="1033" w:type="dxa"/>
            <w:vMerge w:val="continue"/>
            <w:tcBorders>
              <w:left w:val="single" w:color="000000" w:sz="4" w:space="0"/>
              <w:bottom w:val="single" w:color="auto" w:sz="4" w:space="0"/>
              <w:right w:val="single" w:color="000000" w:sz="4" w:space="0"/>
            </w:tcBorders>
            <w:shd w:val="clear" w:color="auto" w:fill="auto"/>
            <w:vAlign w:val="center"/>
          </w:tcPr>
          <w:p w14:paraId="04AB3B3D">
            <w:pPr>
              <w:jc w:val="center"/>
              <w:rPr>
                <w:rFonts w:hint="eastAsia" w:ascii="宋体" w:hAnsi="宋体" w:eastAsia="宋体" w:cs="宋体"/>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2C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受托业绩波动性</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1F1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6584" w:type="dxa"/>
            <w:tcBorders>
              <w:top w:val="single" w:color="000000" w:sz="4" w:space="0"/>
              <w:left w:val="single" w:color="000000" w:sz="4" w:space="0"/>
              <w:bottom w:val="single" w:color="000000" w:sz="4" w:space="0"/>
              <w:right w:val="single" w:color="000000" w:sz="4" w:space="0"/>
            </w:tcBorders>
            <w:shd w:val="clear" w:color="auto" w:fill="auto"/>
            <w:vAlign w:val="top"/>
          </w:tcPr>
          <w:p w14:paraId="2930F28D">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根据各投标人2022-2024年管理集合计划规模加权的综合收益率是否出现负值的情况打分：</w:t>
            </w:r>
          </w:p>
          <w:p w14:paraId="0D78BB10">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1、2022-2024年每年综合收益率均为正收益，得6分；</w:t>
            </w:r>
          </w:p>
          <w:p w14:paraId="3A53D911">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2、2022-2024年每年综合收益率出现过负收益的，每出现一年扣2分。</w:t>
            </w:r>
          </w:p>
          <w:p w14:paraId="38D192CC">
            <w:pPr>
              <w:keepNext w:val="0"/>
              <w:keepLines w:val="0"/>
              <w:widowControl/>
              <w:suppressLineNumbers w:val="0"/>
              <w:jc w:val="both"/>
              <w:textAlignment w:val="bottom"/>
              <w:rPr>
                <w:rFonts w:hint="eastAsia" w:ascii="宋体" w:hAnsi="宋体" w:cs="宋体"/>
                <w:i w:val="0"/>
                <w:iCs w:val="0"/>
                <w:color w:val="000000"/>
                <w:kern w:val="0"/>
                <w:sz w:val="21"/>
                <w:szCs w:val="21"/>
                <w:u w:val="none"/>
                <w:lang w:val="en-US" w:eastAsia="zh-CN" w:bidi="ar"/>
              </w:rPr>
            </w:pPr>
          </w:p>
          <w:p w14:paraId="4D664243">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注：</w:t>
            </w:r>
            <w:r>
              <w:rPr>
                <w:rFonts w:hint="eastAsia" w:ascii="宋体" w:hAnsi="宋体" w:eastAsia="宋体" w:cs="宋体"/>
                <w:i w:val="0"/>
                <w:iCs w:val="0"/>
                <w:color w:val="000000"/>
                <w:kern w:val="0"/>
                <w:sz w:val="21"/>
                <w:szCs w:val="21"/>
                <w:u w:val="none"/>
                <w:lang w:val="en-US" w:eastAsia="zh-CN" w:bidi="ar"/>
              </w:rPr>
              <w:t>集合计划综合收益率计算口径为人社部公布的2022-2024年《全国企业年金基金业务数据摘要》“6.集合计划管理情况表”中投标人受托管理的所有集合计划综合收益率的当年规模加权平均值</w:t>
            </w:r>
          </w:p>
        </w:tc>
      </w:tr>
      <w:tr w14:paraId="11CFE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90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473A8D7">
            <w:pPr>
              <w:jc w:val="center"/>
              <w:rPr>
                <w:rFonts w:hint="eastAsia" w:ascii="宋体" w:hAnsi="宋体" w:eastAsia="宋体" w:cs="宋体"/>
                <w:i w:val="0"/>
                <w:iCs w:val="0"/>
                <w:color w:val="000000"/>
                <w:sz w:val="21"/>
                <w:szCs w:val="21"/>
                <w:u w:val="none"/>
              </w:rPr>
            </w:pP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745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服务方案（</w:t>
            </w:r>
            <w:r>
              <w:rPr>
                <w:rFonts w:hint="eastAsia" w:ascii="宋体" w:hAnsi="宋体" w:cs="宋体"/>
                <w:i w:val="0"/>
                <w:iCs w:val="0"/>
                <w:color w:val="000000"/>
                <w:kern w:val="0"/>
                <w:sz w:val="22"/>
                <w:szCs w:val="22"/>
                <w:u w:val="none"/>
                <w:lang w:val="en-US" w:eastAsia="zh-CN" w:bidi="ar"/>
              </w:rPr>
              <w:t>33</w:t>
            </w:r>
            <w:r>
              <w:rPr>
                <w:rFonts w:hint="eastAsia" w:ascii="宋体" w:hAnsi="宋体" w:eastAsia="宋体" w:cs="宋体"/>
                <w:i w:val="0"/>
                <w:iCs w:val="0"/>
                <w:color w:val="000000"/>
                <w:kern w:val="0"/>
                <w:sz w:val="22"/>
                <w:szCs w:val="22"/>
                <w:u w:val="none"/>
                <w:lang w:val="en-US" w:eastAsia="zh-CN" w:bidi="ar"/>
              </w:rPr>
              <w:t>分）</w:t>
            </w:r>
          </w:p>
        </w:tc>
        <w:tc>
          <w:tcPr>
            <w:tcW w:w="950" w:type="dxa"/>
            <w:tcBorders>
              <w:top w:val="single" w:color="000000" w:sz="4" w:space="0"/>
              <w:left w:val="single" w:color="auto" w:sz="4" w:space="0"/>
              <w:bottom w:val="single" w:color="000000" w:sz="4" w:space="0"/>
              <w:right w:val="single" w:color="000000" w:sz="4" w:space="0"/>
            </w:tcBorders>
            <w:shd w:val="clear" w:color="auto" w:fill="auto"/>
            <w:vAlign w:val="center"/>
          </w:tcPr>
          <w:p w14:paraId="7F43C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推荐集合计划规模情况</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4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p>
        </w:tc>
        <w:tc>
          <w:tcPr>
            <w:tcW w:w="6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835775">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根据各投标人推荐集合计划在2024年人社部公开披露《全国企业年金基金业务数据摘要》的规模情况打分：</w:t>
            </w:r>
          </w:p>
          <w:p w14:paraId="78A81D34">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1、大于等于50亿，得6分；</w:t>
            </w:r>
          </w:p>
          <w:p w14:paraId="151E4A17">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2、大于等于30亿，小于50亿，得4分；</w:t>
            </w:r>
          </w:p>
          <w:p w14:paraId="46CF71BE">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3、大于等于10亿，小于40亿，得2分；</w:t>
            </w:r>
          </w:p>
          <w:p w14:paraId="1974DE06">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4、小于10亿，得0分。</w:t>
            </w:r>
          </w:p>
        </w:tc>
      </w:tr>
      <w:tr w14:paraId="23B0F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90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213FABE">
            <w:pPr>
              <w:jc w:val="center"/>
              <w:rPr>
                <w:rFonts w:hint="eastAsia" w:ascii="宋体" w:hAnsi="宋体" w:eastAsia="宋体" w:cs="宋体"/>
                <w:i w:val="0"/>
                <w:iCs w:val="0"/>
                <w:color w:val="000000"/>
                <w:sz w:val="21"/>
                <w:szCs w:val="21"/>
                <w:u w:val="none"/>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0BA28D">
            <w:pPr>
              <w:jc w:val="center"/>
              <w:rPr>
                <w:rFonts w:hint="eastAsia" w:ascii="宋体" w:hAnsi="宋体" w:eastAsia="宋体" w:cs="宋体"/>
                <w:i w:val="0"/>
                <w:iCs w:val="0"/>
                <w:color w:val="000000"/>
                <w:sz w:val="21"/>
                <w:szCs w:val="21"/>
                <w:u w:val="none"/>
              </w:rPr>
            </w:pPr>
          </w:p>
        </w:tc>
        <w:tc>
          <w:tcPr>
            <w:tcW w:w="950" w:type="dxa"/>
            <w:tcBorders>
              <w:top w:val="single" w:color="000000" w:sz="4" w:space="0"/>
              <w:left w:val="single" w:color="auto" w:sz="4" w:space="0"/>
              <w:bottom w:val="single" w:color="000000" w:sz="4" w:space="0"/>
              <w:right w:val="single" w:color="000000" w:sz="4" w:space="0"/>
            </w:tcBorders>
            <w:shd w:val="clear" w:color="auto" w:fill="auto"/>
            <w:vAlign w:val="center"/>
          </w:tcPr>
          <w:p w14:paraId="428B9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推荐集合计划业绩情况</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2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A9F0">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根据各投标人推荐集合计划2022-2024年历年综合收益率的简单平均收益率与市场历年简单平均收益率对比情况打分：</w:t>
            </w:r>
          </w:p>
          <w:p w14:paraId="09C2AD18">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业绩排名第一的投标人得8分，其余按排名依次递减2分，最低0分。</w:t>
            </w:r>
          </w:p>
          <w:p w14:paraId="165E3065">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p w14:paraId="0AFDC347">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注：</w:t>
            </w:r>
            <w:r>
              <w:rPr>
                <w:rFonts w:hint="eastAsia" w:ascii="宋体" w:hAnsi="宋体" w:eastAsia="宋体" w:cs="宋体"/>
                <w:i w:val="0"/>
                <w:iCs w:val="0"/>
                <w:color w:val="000000"/>
                <w:kern w:val="0"/>
                <w:sz w:val="21"/>
                <w:szCs w:val="21"/>
                <w:u w:val="none"/>
                <w:lang w:val="en-US" w:eastAsia="zh-CN" w:bidi="ar"/>
              </w:rPr>
              <w:t>集合计划综合收益率计算口径为人社部公布的2022-2024年《全国企业年金基金业务数据摘要》“6.集合计划管理情况表”中投标人受托管理的所有集合计划综合收益率的当年规模加权平均值</w:t>
            </w:r>
          </w:p>
        </w:tc>
      </w:tr>
      <w:tr w14:paraId="6D15F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7" w:hRule="atLeast"/>
        </w:trPr>
        <w:tc>
          <w:tcPr>
            <w:tcW w:w="90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BDCE0C1">
            <w:pPr>
              <w:jc w:val="center"/>
              <w:rPr>
                <w:rFonts w:hint="eastAsia" w:ascii="宋体" w:hAnsi="宋体" w:eastAsia="宋体" w:cs="宋体"/>
                <w:i w:val="0"/>
                <w:iCs w:val="0"/>
                <w:color w:val="000000"/>
                <w:sz w:val="21"/>
                <w:szCs w:val="21"/>
                <w:u w:val="none"/>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61E414">
            <w:pPr>
              <w:jc w:val="center"/>
              <w:rPr>
                <w:rFonts w:hint="eastAsia" w:ascii="宋体" w:hAnsi="宋体" w:eastAsia="宋体" w:cs="宋体"/>
                <w:i w:val="0"/>
                <w:iCs w:val="0"/>
                <w:color w:val="000000"/>
                <w:sz w:val="21"/>
                <w:szCs w:val="21"/>
                <w:u w:val="none"/>
              </w:rPr>
            </w:pPr>
          </w:p>
        </w:tc>
        <w:tc>
          <w:tcPr>
            <w:tcW w:w="950" w:type="dxa"/>
            <w:tcBorders>
              <w:top w:val="single" w:color="000000" w:sz="4" w:space="0"/>
              <w:left w:val="single" w:color="auto" w:sz="4" w:space="0"/>
              <w:bottom w:val="single" w:color="000000" w:sz="4" w:space="0"/>
              <w:right w:val="single" w:color="000000" w:sz="4" w:space="0"/>
            </w:tcBorders>
            <w:shd w:val="clear" w:color="auto" w:fill="auto"/>
            <w:vAlign w:val="center"/>
          </w:tcPr>
          <w:p w14:paraId="6426E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委托人服务系统方案</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3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B375">
            <w:pPr>
              <w:keepNext w:val="0"/>
              <w:keepLines w:val="0"/>
              <w:widowControl/>
              <w:suppressLineNumbers w:val="0"/>
              <w:jc w:val="left"/>
              <w:textAlignment w:val="center"/>
              <w:rPr>
                <w:rFonts w:hint="eastAsia"/>
              </w:rPr>
            </w:pPr>
            <w:r>
              <w:rPr>
                <w:rFonts w:hint="eastAsia"/>
              </w:rPr>
              <w:t>根据以下情况是否满足，酌情打分。</w:t>
            </w:r>
          </w:p>
          <w:p w14:paraId="5E75E0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rPr>
              <w:t>①受托系统数据库是否符合标准，是否自主研发，确保年金信息安全。②提供委托人网上年金服务平台系统，满足企业不同层级需求，功能齐全，系统成熟度高；③提供委托人员工使用的查询系统，操作便捷，可以满足员工查询、计税测算等需求；④提供丰富的员工查询渠道。</w:t>
            </w:r>
          </w:p>
        </w:tc>
      </w:tr>
      <w:tr w14:paraId="1D19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90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99F02BD">
            <w:pPr>
              <w:jc w:val="center"/>
              <w:rPr>
                <w:rFonts w:hint="eastAsia" w:ascii="宋体" w:hAnsi="宋体" w:eastAsia="宋体" w:cs="宋体"/>
                <w:i w:val="0"/>
                <w:iCs w:val="0"/>
                <w:color w:val="000000"/>
                <w:sz w:val="21"/>
                <w:szCs w:val="21"/>
                <w:u w:val="none"/>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CD4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auto" w:sz="4" w:space="0"/>
              <w:bottom w:val="single" w:color="000000" w:sz="4" w:space="0"/>
              <w:right w:val="single" w:color="000000" w:sz="4" w:space="0"/>
            </w:tcBorders>
            <w:shd w:val="clear" w:color="auto" w:fill="auto"/>
            <w:vAlign w:val="center"/>
          </w:tcPr>
          <w:p w14:paraId="00863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专属服务方案</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3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p>
        </w:tc>
        <w:tc>
          <w:tcPr>
            <w:tcW w:w="6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8ED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根据以下情况是否满足，酌情打分。</w:t>
            </w:r>
          </w:p>
          <w:p w14:paraId="4417BC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全流程的受托服务，符合委托人需求，贯穿方案设计、合同签署、运营三个阶段，日常运营服务响应程度高，符合委托人需求。</w:t>
            </w:r>
          </w:p>
        </w:tc>
      </w:tr>
      <w:tr w14:paraId="7C75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9" w:hRule="atLeast"/>
        </w:trPr>
        <w:tc>
          <w:tcPr>
            <w:tcW w:w="90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500A2B3">
            <w:pPr>
              <w:jc w:val="center"/>
              <w:rPr>
                <w:rFonts w:hint="eastAsia" w:ascii="宋体" w:hAnsi="宋体" w:eastAsia="宋体" w:cs="宋体"/>
                <w:i w:val="0"/>
                <w:iCs w:val="0"/>
                <w:color w:val="000000"/>
                <w:sz w:val="21"/>
                <w:szCs w:val="21"/>
                <w:u w:val="none"/>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1854E2">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auto" w:sz="4" w:space="0"/>
              <w:bottom w:val="single" w:color="000000" w:sz="4" w:space="0"/>
              <w:right w:val="single" w:color="000000" w:sz="4" w:space="0"/>
            </w:tcBorders>
            <w:shd w:val="clear" w:color="auto" w:fill="auto"/>
            <w:vAlign w:val="center"/>
          </w:tcPr>
          <w:p w14:paraId="75F33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专属服务团队</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0AD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6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ED4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根据以下情况是否满足，酌情打分。</w:t>
            </w:r>
          </w:p>
          <w:p w14:paraId="4EC0DB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①建立符合委托人特点的企业年金服务模式，成立专门服务团队；②服务团队、职责清晰、分工明确；③团队成员有企业年金专职服务经验，平均从业年限时间长。</w:t>
            </w:r>
          </w:p>
        </w:tc>
      </w:tr>
      <w:tr w14:paraId="77DF6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0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9F4F42B">
            <w:pPr>
              <w:jc w:val="center"/>
              <w:rPr>
                <w:rFonts w:hint="eastAsia" w:ascii="宋体" w:hAnsi="宋体" w:eastAsia="宋体" w:cs="宋体"/>
                <w:i w:val="0"/>
                <w:iCs w:val="0"/>
                <w:color w:val="000000"/>
                <w:sz w:val="21"/>
                <w:szCs w:val="21"/>
                <w:u w:val="none"/>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E06B87">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auto" w:sz="4" w:space="0"/>
              <w:bottom w:val="single" w:color="000000" w:sz="4" w:space="0"/>
              <w:right w:val="single" w:color="000000" w:sz="4" w:space="0"/>
            </w:tcBorders>
            <w:shd w:val="clear" w:color="auto" w:fill="auto"/>
            <w:vAlign w:val="center"/>
          </w:tcPr>
          <w:p w14:paraId="67827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增值服务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A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5A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投标人能够为委托人提供各类具有特色的增值服务，根据增值服务具有针对性、利于项目实施情况进行打分，最高得</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tc>
      </w:tr>
    </w:tbl>
    <w:p w14:paraId="388E17C3"/>
    <w:p w14:paraId="6D6404A4">
      <w:pPr>
        <w:spacing w:line="360" w:lineRule="auto"/>
        <w:rPr>
          <w:rFonts w:ascii="宋体" w:hAnsi="宋体" w:cs="宋体"/>
          <w:b/>
          <w:sz w:val="36"/>
          <w:szCs w:val="36"/>
        </w:rPr>
      </w:pPr>
    </w:p>
    <w:p w14:paraId="014CA72A">
      <w:pPr>
        <w:spacing w:line="360" w:lineRule="auto"/>
        <w:jc w:val="center"/>
        <w:outlineLvl w:val="0"/>
        <w:rPr>
          <w:rFonts w:ascii="宋体" w:hAnsi="宋体" w:cs="宋体"/>
          <w:b/>
          <w:sz w:val="36"/>
          <w:szCs w:val="36"/>
        </w:rPr>
        <w:sectPr>
          <w:footnotePr>
            <w:numRestart w:val="eachPage"/>
          </w:footnotePr>
          <w:endnotePr>
            <w:numRestart w:val="eachSect"/>
          </w:endnotePr>
          <w:pgSz w:w="11907" w:h="16840"/>
          <w:pgMar w:top="1418" w:right="1418" w:bottom="1418" w:left="1588" w:header="851" w:footer="839" w:gutter="0"/>
          <w:cols w:space="720" w:num="1"/>
          <w:docGrid w:linePitch="435" w:charSpace="-6554"/>
        </w:sectPr>
      </w:pPr>
    </w:p>
    <w:p w14:paraId="51C4B733">
      <w:pPr>
        <w:spacing w:line="360" w:lineRule="auto"/>
        <w:jc w:val="center"/>
        <w:outlineLvl w:val="0"/>
        <w:rPr>
          <w:rFonts w:ascii="宋体" w:hAnsi="宋体" w:cs="宋体"/>
          <w:b/>
          <w:sz w:val="36"/>
          <w:szCs w:val="36"/>
        </w:rPr>
      </w:pPr>
      <w:r>
        <w:rPr>
          <w:rFonts w:hint="eastAsia" w:ascii="宋体" w:hAnsi="宋体" w:cs="宋体"/>
          <w:b/>
          <w:sz w:val="36"/>
          <w:szCs w:val="36"/>
        </w:rPr>
        <w:t>第四章 项目需求</w:t>
      </w:r>
    </w:p>
    <w:p w14:paraId="4D38EE0A">
      <w:pPr>
        <w:pStyle w:val="3"/>
        <w:tabs>
          <w:tab w:val="left" w:pos="8280"/>
        </w:tabs>
        <w:snapToGrid w:val="0"/>
        <w:spacing w:before="0" w:after="0" w:line="360" w:lineRule="auto"/>
        <w:rPr>
          <w:rFonts w:ascii="宋体" w:hAnsi="宋体" w:eastAsia="宋体" w:cs="宋体"/>
          <w:kern w:val="0"/>
          <w:sz w:val="21"/>
          <w:szCs w:val="21"/>
        </w:rPr>
      </w:pPr>
      <w:bookmarkStart w:id="6" w:name="_Toc26877625"/>
      <w:r>
        <w:rPr>
          <w:rFonts w:hint="eastAsia" w:ascii="宋体" w:hAnsi="宋体" w:eastAsia="宋体" w:cs="宋体"/>
          <w:kern w:val="0"/>
          <w:sz w:val="21"/>
          <w:szCs w:val="21"/>
        </w:rPr>
        <w:t>一、项目</w:t>
      </w:r>
      <w:bookmarkEnd w:id="6"/>
      <w:r>
        <w:rPr>
          <w:rFonts w:hint="eastAsia" w:ascii="宋体" w:hAnsi="宋体" w:eastAsia="宋体" w:cs="宋体"/>
          <w:kern w:val="0"/>
          <w:sz w:val="21"/>
          <w:szCs w:val="21"/>
        </w:rPr>
        <w:t>概况</w:t>
      </w:r>
    </w:p>
    <w:tbl>
      <w:tblPr>
        <w:tblStyle w:val="23"/>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180"/>
        <w:gridCol w:w="852"/>
        <w:gridCol w:w="866"/>
        <w:gridCol w:w="2816"/>
        <w:gridCol w:w="1014"/>
      </w:tblGrid>
      <w:tr w14:paraId="31D3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789" w:type="dxa"/>
            <w:vAlign w:val="center"/>
          </w:tcPr>
          <w:p w14:paraId="193E6A64">
            <w:pPr>
              <w:tabs>
                <w:tab w:val="left" w:pos="8280"/>
              </w:tabs>
              <w:autoSpaceDE w:val="0"/>
              <w:autoSpaceDN w:val="0"/>
              <w:adjustRightInd w:val="0"/>
              <w:jc w:val="center"/>
              <w:rPr>
                <w:rFonts w:ascii="宋体" w:hAnsi="宋体" w:cs="宋体"/>
                <w:b/>
                <w:szCs w:val="21"/>
              </w:rPr>
            </w:pPr>
            <w:bookmarkStart w:id="7" w:name="_Toc26877626"/>
            <w:r>
              <w:rPr>
                <w:rFonts w:hint="eastAsia" w:ascii="宋体" w:hAnsi="宋体" w:cs="宋体"/>
                <w:b/>
                <w:szCs w:val="21"/>
              </w:rPr>
              <w:t>序号</w:t>
            </w:r>
          </w:p>
        </w:tc>
        <w:tc>
          <w:tcPr>
            <w:tcW w:w="2180" w:type="dxa"/>
            <w:vAlign w:val="center"/>
          </w:tcPr>
          <w:p w14:paraId="44A0D53F">
            <w:pPr>
              <w:tabs>
                <w:tab w:val="left" w:pos="8280"/>
              </w:tabs>
              <w:autoSpaceDE w:val="0"/>
              <w:autoSpaceDN w:val="0"/>
              <w:adjustRightInd w:val="0"/>
              <w:ind w:right="25" w:firstLine="105" w:firstLineChars="50"/>
              <w:jc w:val="center"/>
              <w:rPr>
                <w:rFonts w:ascii="宋体" w:hAnsi="宋体" w:cs="宋体"/>
                <w:b/>
                <w:szCs w:val="21"/>
              </w:rPr>
            </w:pPr>
            <w:r>
              <w:rPr>
                <w:rFonts w:hint="eastAsia" w:ascii="宋体" w:hAnsi="宋体" w:cs="宋体"/>
                <w:b/>
                <w:szCs w:val="21"/>
              </w:rPr>
              <w:t>项目名称</w:t>
            </w:r>
          </w:p>
        </w:tc>
        <w:tc>
          <w:tcPr>
            <w:tcW w:w="852" w:type="dxa"/>
            <w:vAlign w:val="center"/>
          </w:tcPr>
          <w:p w14:paraId="0D2E1E33">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数量</w:t>
            </w:r>
          </w:p>
        </w:tc>
        <w:tc>
          <w:tcPr>
            <w:tcW w:w="866" w:type="dxa"/>
            <w:vAlign w:val="center"/>
          </w:tcPr>
          <w:p w14:paraId="670CD52D">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2816" w:type="dxa"/>
            <w:vAlign w:val="center"/>
          </w:tcPr>
          <w:p w14:paraId="2BBFCC2C">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最高限价</w:t>
            </w:r>
          </w:p>
        </w:tc>
        <w:tc>
          <w:tcPr>
            <w:tcW w:w="1014" w:type="dxa"/>
            <w:vAlign w:val="center"/>
          </w:tcPr>
          <w:p w14:paraId="319ACFE9">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备注</w:t>
            </w:r>
          </w:p>
        </w:tc>
      </w:tr>
      <w:tr w14:paraId="2FB4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789" w:type="dxa"/>
            <w:vAlign w:val="center"/>
          </w:tcPr>
          <w:p w14:paraId="452BDB01">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2180" w:type="dxa"/>
            <w:vAlign w:val="center"/>
          </w:tcPr>
          <w:p w14:paraId="1B5CD155">
            <w:pPr>
              <w:tabs>
                <w:tab w:val="left" w:pos="8280"/>
              </w:tabs>
              <w:autoSpaceDE w:val="0"/>
              <w:autoSpaceDN w:val="0"/>
              <w:adjustRightInd w:val="0"/>
              <w:ind w:right="25"/>
              <w:jc w:val="center"/>
              <w:rPr>
                <w:rFonts w:ascii="宋体" w:hAnsi="宋体" w:cs="宋体"/>
                <w:szCs w:val="21"/>
              </w:rPr>
            </w:pPr>
            <w:r>
              <w:rPr>
                <w:rFonts w:hint="eastAsia" w:ascii="宋体" w:hAnsi="宋体" w:cs="宋体"/>
                <w:szCs w:val="21"/>
                <w:lang w:eastAsia="zh-CN"/>
              </w:rPr>
              <w:t>杭州国宇物产管理有限公司</w:t>
            </w:r>
            <w:r>
              <w:rPr>
                <w:rFonts w:hint="eastAsia" w:ascii="宋体" w:hAnsi="宋体" w:cs="宋体"/>
                <w:szCs w:val="21"/>
              </w:rPr>
              <w:t>企业年金基金受托管理服务项目</w:t>
            </w:r>
          </w:p>
        </w:tc>
        <w:tc>
          <w:tcPr>
            <w:tcW w:w="852" w:type="dxa"/>
            <w:vAlign w:val="center"/>
          </w:tcPr>
          <w:p w14:paraId="36AF0D51">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866" w:type="dxa"/>
            <w:vAlign w:val="center"/>
          </w:tcPr>
          <w:p w14:paraId="19157795">
            <w:pPr>
              <w:widowControl/>
              <w:jc w:val="center"/>
              <w:rPr>
                <w:rFonts w:ascii="宋体" w:hAnsi="宋体" w:cs="宋体"/>
                <w:szCs w:val="21"/>
              </w:rPr>
            </w:pPr>
            <w:r>
              <w:rPr>
                <w:rFonts w:hint="eastAsia" w:ascii="宋体" w:hAnsi="宋体" w:cs="宋体"/>
                <w:szCs w:val="21"/>
              </w:rPr>
              <w:t>项</w:t>
            </w:r>
          </w:p>
        </w:tc>
        <w:tc>
          <w:tcPr>
            <w:tcW w:w="2816" w:type="dxa"/>
            <w:vAlign w:val="center"/>
          </w:tcPr>
          <w:p w14:paraId="4FD30F09">
            <w:pPr>
              <w:tabs>
                <w:tab w:val="left" w:pos="8280"/>
              </w:tabs>
              <w:autoSpaceDE w:val="0"/>
              <w:autoSpaceDN w:val="0"/>
              <w:adjustRightInd w:val="0"/>
              <w:jc w:val="center"/>
              <w:rPr>
                <w:rFonts w:ascii="宋体" w:hAnsi="宋体" w:cs="宋体"/>
                <w:szCs w:val="21"/>
              </w:rPr>
            </w:pPr>
            <w:r>
              <w:rPr>
                <w:rFonts w:hint="eastAsia" w:ascii="宋体" w:hAnsi="宋体" w:cs="宋体"/>
                <w:bCs/>
                <w:szCs w:val="21"/>
              </w:rPr>
              <w:t>各项管理费用不得超过《企业年金基金管理办法》规定的上限。</w:t>
            </w:r>
          </w:p>
        </w:tc>
        <w:tc>
          <w:tcPr>
            <w:tcW w:w="1014" w:type="dxa"/>
            <w:vAlign w:val="center"/>
          </w:tcPr>
          <w:p w14:paraId="6829C40B">
            <w:pPr>
              <w:tabs>
                <w:tab w:val="left" w:pos="8280"/>
              </w:tabs>
              <w:autoSpaceDE w:val="0"/>
              <w:autoSpaceDN w:val="0"/>
              <w:adjustRightInd w:val="0"/>
              <w:jc w:val="center"/>
              <w:rPr>
                <w:rFonts w:ascii="宋体" w:hAnsi="宋体" w:cs="宋体"/>
                <w:szCs w:val="21"/>
              </w:rPr>
            </w:pPr>
          </w:p>
        </w:tc>
      </w:tr>
    </w:tbl>
    <w:p w14:paraId="49D048C3">
      <w:pPr>
        <w:bidi w:val="0"/>
      </w:pPr>
    </w:p>
    <w:p w14:paraId="54291474">
      <w:pPr>
        <w:pStyle w:val="3"/>
        <w:tabs>
          <w:tab w:val="left" w:pos="8280"/>
        </w:tabs>
        <w:snapToGrid w:val="0"/>
        <w:spacing w:before="0" w:after="0" w:line="360" w:lineRule="auto"/>
        <w:rPr>
          <w:rFonts w:ascii="宋体" w:hAnsi="宋体" w:eastAsia="宋体" w:cs="宋体"/>
          <w:kern w:val="0"/>
          <w:sz w:val="21"/>
          <w:szCs w:val="21"/>
        </w:rPr>
      </w:pPr>
      <w:r>
        <w:rPr>
          <w:rFonts w:hint="eastAsia" w:ascii="宋体" w:hAnsi="宋体" w:eastAsia="宋体" w:cs="宋体"/>
          <w:kern w:val="0"/>
          <w:sz w:val="21"/>
          <w:szCs w:val="21"/>
        </w:rPr>
        <w:t>二、项目</w:t>
      </w:r>
      <w:bookmarkEnd w:id="7"/>
      <w:r>
        <w:rPr>
          <w:rFonts w:hint="eastAsia" w:ascii="宋体" w:hAnsi="宋体" w:eastAsia="宋体" w:cs="宋体"/>
          <w:kern w:val="0"/>
          <w:sz w:val="21"/>
          <w:szCs w:val="21"/>
        </w:rPr>
        <w:t>内容</w:t>
      </w:r>
    </w:p>
    <w:p w14:paraId="1BB357DE">
      <w:pPr>
        <w:pStyle w:val="7"/>
        <w:spacing w:after="0" w:line="360" w:lineRule="auto"/>
        <w:ind w:firstLine="420" w:firstLineChars="200"/>
        <w:rPr>
          <w:rFonts w:ascii="宋体" w:hAnsi="宋体" w:cs="宋体"/>
          <w:kern w:val="0"/>
          <w:szCs w:val="21"/>
        </w:rPr>
      </w:pPr>
      <w:r>
        <w:rPr>
          <w:rFonts w:hint="eastAsia" w:ascii="宋体" w:hAnsi="宋体" w:cs="宋体"/>
          <w:kern w:val="0"/>
          <w:szCs w:val="21"/>
        </w:rPr>
        <w:t>（一）项目需求</w:t>
      </w:r>
    </w:p>
    <w:p w14:paraId="5A4EC7F7">
      <w:pPr>
        <w:pStyle w:val="7"/>
        <w:spacing w:after="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选择一家具有国家人力资源和社会保障部认定的企业年金基金受托管理人资格的公司，</w:t>
      </w:r>
      <w:r>
        <w:rPr>
          <w:rFonts w:hint="eastAsia" w:ascii="宋体" w:hAnsi="宋体" w:cs="宋体"/>
          <w:color w:val="auto"/>
          <w:kern w:val="0"/>
          <w:szCs w:val="21"/>
          <w:highlight w:val="none"/>
          <w:lang w:val="en-US" w:eastAsia="zh-CN"/>
        </w:rPr>
        <w:t>推荐1个集合计划产品供委托人选择，</w:t>
      </w:r>
      <w:r>
        <w:rPr>
          <w:rFonts w:hint="eastAsia" w:ascii="宋体" w:hAnsi="宋体" w:cs="宋体"/>
          <w:color w:val="auto"/>
          <w:kern w:val="0"/>
          <w:szCs w:val="21"/>
          <w:highlight w:val="none"/>
        </w:rPr>
        <w:t>为本</w:t>
      </w:r>
      <w:r>
        <w:rPr>
          <w:rFonts w:hint="eastAsia" w:ascii="宋体" w:hAnsi="宋体" w:cs="宋体"/>
          <w:color w:val="auto"/>
          <w:kern w:val="0"/>
          <w:szCs w:val="21"/>
          <w:highlight w:val="none"/>
          <w:lang w:val="en-US" w:eastAsia="zh-CN"/>
        </w:rPr>
        <w:t>集团</w:t>
      </w:r>
      <w:r>
        <w:rPr>
          <w:rFonts w:hint="eastAsia" w:ascii="宋体" w:hAnsi="宋体" w:cs="宋体"/>
          <w:color w:val="auto"/>
          <w:kern w:val="0"/>
          <w:szCs w:val="21"/>
          <w:highlight w:val="none"/>
        </w:rPr>
        <w:t>提供全面、专业化的受托管理服务，使其在控制风险的前提下</w:t>
      </w:r>
      <w:r>
        <w:rPr>
          <w:rFonts w:hint="eastAsia" w:ascii="宋体" w:hAnsi="宋体" w:cs="宋体"/>
          <w:color w:val="auto"/>
          <w:kern w:val="0"/>
          <w:szCs w:val="21"/>
          <w:highlight w:val="none"/>
          <w:lang w:val="en-US" w:eastAsia="zh-CN"/>
        </w:rPr>
        <w:t>争取</w:t>
      </w:r>
      <w:r>
        <w:rPr>
          <w:rFonts w:hint="eastAsia" w:ascii="宋体" w:hAnsi="宋体" w:cs="宋体"/>
          <w:color w:val="auto"/>
          <w:kern w:val="0"/>
          <w:szCs w:val="21"/>
          <w:highlight w:val="none"/>
        </w:rPr>
        <w:t>合理收益</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保值增值。</w:t>
      </w:r>
    </w:p>
    <w:p w14:paraId="3C4B7FCB">
      <w:pPr>
        <w:pStyle w:val="7"/>
        <w:spacing w:after="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服务期限：本项目服务期为签订合同后3年。成交单位在未有违反合同的行为发生，3年服务期满后，可续签下一个三年期的服务合同，若成交单位有违约行为，服务质量未达到标准，采购人有权单方面提前解除合同或不续签合同。</w:t>
      </w:r>
    </w:p>
    <w:p w14:paraId="561FB76F">
      <w:pPr>
        <w:pStyle w:val="7"/>
        <w:spacing w:after="0" w:line="360" w:lineRule="auto"/>
        <w:ind w:firstLine="420" w:firstLineChars="200"/>
        <w:rPr>
          <w:rFonts w:ascii="宋体" w:hAnsi="宋体" w:cs="宋体"/>
          <w:kern w:val="0"/>
          <w:szCs w:val="21"/>
        </w:rPr>
      </w:pPr>
      <w:r>
        <w:rPr>
          <w:rFonts w:hint="eastAsia" w:ascii="宋体" w:hAnsi="宋体" w:cs="宋体"/>
          <w:kern w:val="0"/>
          <w:szCs w:val="21"/>
        </w:rPr>
        <w:t>（三）运作模式：采用集合计划模式。</w:t>
      </w:r>
    </w:p>
    <w:p w14:paraId="3B9C1C8B">
      <w:pPr>
        <w:pStyle w:val="7"/>
        <w:spacing w:after="0" w:line="360" w:lineRule="auto"/>
        <w:ind w:left="0" w:leftChars="0" w:firstLine="218" w:firstLineChars="104"/>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四</w:t>
      </w:r>
      <w:r>
        <w:rPr>
          <w:rFonts w:hint="eastAsia" w:ascii="宋体" w:hAnsi="宋体" w:cs="宋体"/>
          <w:kern w:val="0"/>
          <w:szCs w:val="21"/>
        </w:rPr>
        <w:t>）最高限价：</w:t>
      </w:r>
      <w:r>
        <w:rPr>
          <w:rFonts w:hint="eastAsia" w:ascii="宋体" w:hAnsi="宋体" w:cs="宋体"/>
          <w:kern w:val="0"/>
          <w:szCs w:val="21"/>
          <w:lang w:val="en-US" w:eastAsia="zh-CN"/>
        </w:rPr>
        <w:t>受托</w:t>
      </w:r>
      <w:r>
        <w:rPr>
          <w:rFonts w:hint="eastAsia" w:ascii="宋体" w:hAnsi="宋体" w:cs="宋体"/>
          <w:kern w:val="0"/>
          <w:szCs w:val="21"/>
        </w:rPr>
        <w:t>管理费用不得超过《企业年金基金管理办法》规定的上限，即：受托人年度提取的管理费不高于受托管理企业年金基金财产净值的0.2%。报价超过最高限价，将被否决。</w:t>
      </w:r>
    </w:p>
    <w:p w14:paraId="2C08E407">
      <w:pPr>
        <w:pStyle w:val="31"/>
        <w:spacing w:line="360" w:lineRule="auto"/>
        <w:rPr>
          <w:rFonts w:cs="宋体"/>
          <w:kern w:val="2"/>
          <w:sz w:val="21"/>
          <w:szCs w:val="21"/>
        </w:rPr>
        <w:sectPr>
          <w:pgSz w:w="11906" w:h="16838"/>
          <w:pgMar w:top="1440" w:right="1800" w:bottom="1440" w:left="1800" w:header="851" w:footer="992" w:gutter="0"/>
          <w:pgNumType w:fmt="numberInDash"/>
          <w:cols w:space="425" w:num="1"/>
          <w:docGrid w:type="lines" w:linePitch="312" w:charSpace="0"/>
        </w:sectPr>
      </w:pPr>
    </w:p>
    <w:p w14:paraId="4F240CF4">
      <w:pPr>
        <w:spacing w:line="360" w:lineRule="auto"/>
        <w:jc w:val="center"/>
        <w:outlineLvl w:val="0"/>
        <w:rPr>
          <w:rFonts w:ascii="宋体" w:hAnsi="宋体" w:cs="宋体"/>
          <w:b/>
          <w:sz w:val="36"/>
          <w:szCs w:val="36"/>
        </w:rPr>
      </w:pPr>
      <w:r>
        <w:rPr>
          <w:rFonts w:hint="eastAsia" w:ascii="宋体" w:hAnsi="宋体" w:cs="宋体"/>
          <w:b/>
          <w:sz w:val="36"/>
          <w:szCs w:val="36"/>
        </w:rPr>
        <w:t>第五章 企业年金基金受托管理合同主要条款</w:t>
      </w:r>
    </w:p>
    <w:p w14:paraId="61F5377E">
      <w:pPr>
        <w:spacing w:line="360" w:lineRule="auto"/>
        <w:jc w:val="center"/>
        <w:rPr>
          <w:rFonts w:ascii="宋体" w:hAnsi="宋体" w:cs="宋体"/>
          <w:szCs w:val="21"/>
          <w:highlight w:val="none"/>
        </w:rPr>
      </w:pPr>
      <w:r>
        <w:rPr>
          <w:rFonts w:hint="eastAsia" w:ascii="宋体" w:hAnsi="宋体" w:cs="宋体"/>
          <w:sz w:val="24"/>
          <w:highlight w:val="none"/>
        </w:rPr>
        <w:t xml:space="preserve"> </w:t>
      </w:r>
      <w:bookmarkStart w:id="8" w:name="_Toc19043"/>
      <w:r>
        <w:rPr>
          <w:rFonts w:hint="eastAsia" w:ascii="宋体" w:hAnsi="宋体" w:cs="宋体"/>
          <w:szCs w:val="21"/>
          <w:highlight w:val="none"/>
        </w:rPr>
        <w:t>(参照人社部受托合同指引，仅供参考，双方正式合同</w:t>
      </w:r>
      <w:bookmarkEnd w:id="8"/>
    </w:p>
    <w:p w14:paraId="3190E6C4">
      <w:pPr>
        <w:spacing w:line="360" w:lineRule="auto"/>
        <w:jc w:val="center"/>
        <w:rPr>
          <w:rFonts w:ascii="宋体" w:hAnsi="宋体" w:cs="宋体"/>
          <w:szCs w:val="21"/>
          <w:highlight w:val="none"/>
        </w:rPr>
      </w:pPr>
      <w:bookmarkStart w:id="9" w:name="_Toc26954"/>
      <w:r>
        <w:rPr>
          <w:rFonts w:hint="eastAsia" w:ascii="宋体" w:hAnsi="宋体" w:cs="宋体"/>
          <w:szCs w:val="21"/>
          <w:highlight w:val="none"/>
        </w:rPr>
        <w:t>及权利、义务在成交后依据项目实际情况确定）</w:t>
      </w:r>
      <w:bookmarkEnd w:id="9"/>
    </w:p>
    <w:p w14:paraId="5F8A76F1">
      <w:pPr>
        <w:pStyle w:val="15"/>
        <w:pBdr>
          <w:bottom w:val="none" w:color="auto" w:sz="0" w:space="0"/>
        </w:pBdr>
        <w:tabs>
          <w:tab w:val="right" w:pos="8460"/>
          <w:tab w:val="clear" w:pos="8306"/>
        </w:tabs>
        <w:wordWrap w:val="0"/>
        <w:spacing w:line="360" w:lineRule="auto"/>
        <w:jc w:val="right"/>
        <w:rPr>
          <w:rFonts w:ascii="宋体" w:hAnsi="宋体" w:eastAsia="宋体" w:cs="宋体"/>
          <w:b/>
          <w:bCs/>
          <w:sz w:val="22"/>
          <w:szCs w:val="22"/>
        </w:rPr>
      </w:pPr>
    </w:p>
    <w:p w14:paraId="0EC2E3B2">
      <w:pPr>
        <w:spacing w:line="360" w:lineRule="auto"/>
        <w:ind w:firstLine="442" w:firstLineChars="200"/>
        <w:jc w:val="center"/>
        <w:rPr>
          <w:rFonts w:ascii="宋体" w:hAnsi="宋体" w:cs="宋体"/>
          <w:b/>
          <w:sz w:val="22"/>
          <w:szCs w:val="22"/>
        </w:rPr>
      </w:pPr>
      <w:bookmarkStart w:id="10" w:name="_Toc802"/>
      <w:r>
        <w:rPr>
          <w:rFonts w:hint="eastAsia" w:ascii="宋体" w:hAnsi="宋体" w:cs="宋体"/>
          <w:b/>
          <w:sz w:val="22"/>
          <w:szCs w:val="22"/>
        </w:rPr>
        <w:t>企业年金计划受托管理合同指引 (范本）</w:t>
      </w:r>
      <w:bookmarkEnd w:id="10"/>
    </w:p>
    <w:p w14:paraId="3E800F77">
      <w:pPr>
        <w:spacing w:line="360" w:lineRule="auto"/>
        <w:ind w:firstLine="440" w:firstLineChars="200"/>
        <w:rPr>
          <w:rFonts w:ascii="宋体" w:hAnsi="宋体" w:cs="宋体"/>
          <w:sz w:val="22"/>
          <w:szCs w:val="22"/>
        </w:rPr>
      </w:pPr>
    </w:p>
    <w:p w14:paraId="5938C609">
      <w:pPr>
        <w:spacing w:line="360" w:lineRule="auto"/>
        <w:jc w:val="center"/>
        <w:rPr>
          <w:rFonts w:ascii="宋体" w:hAnsi="宋体" w:cs="宋体"/>
          <w:sz w:val="22"/>
          <w:szCs w:val="22"/>
        </w:rPr>
      </w:pPr>
      <w:bookmarkStart w:id="11" w:name="_Toc5861"/>
      <w:bookmarkStart w:id="12" w:name="_Toc311040981"/>
      <w:bookmarkStart w:id="13" w:name="_Toc319932539"/>
      <w:r>
        <w:rPr>
          <w:rFonts w:hint="eastAsia" w:ascii="宋体" w:hAnsi="宋体" w:cs="宋体"/>
          <w:sz w:val="22"/>
          <w:szCs w:val="22"/>
        </w:rPr>
        <w:t>第一章　定义</w:t>
      </w:r>
      <w:bookmarkEnd w:id="11"/>
      <w:bookmarkEnd w:id="12"/>
      <w:bookmarkEnd w:id="13"/>
    </w:p>
    <w:p w14:paraId="0957A4E9">
      <w:pPr>
        <w:spacing w:line="360" w:lineRule="auto"/>
        <w:ind w:firstLine="440" w:firstLineChars="200"/>
        <w:rPr>
          <w:rFonts w:ascii="宋体" w:hAnsi="宋体" w:cs="宋体"/>
          <w:sz w:val="22"/>
          <w:szCs w:val="22"/>
        </w:rPr>
      </w:pPr>
      <w:r>
        <w:rPr>
          <w:rFonts w:hint="eastAsia" w:ascii="宋体" w:hAnsi="宋体" w:cs="宋体"/>
          <w:sz w:val="22"/>
          <w:szCs w:val="22"/>
        </w:rPr>
        <w:t>在本合同中，除上下文另有解释外，下列词语应当具有如下含义：</w:t>
      </w:r>
    </w:p>
    <w:p w14:paraId="73BBF8CA">
      <w:pPr>
        <w:spacing w:line="360" w:lineRule="auto"/>
        <w:ind w:firstLine="440" w:firstLineChars="200"/>
        <w:rPr>
          <w:rFonts w:ascii="宋体" w:hAnsi="宋体" w:cs="宋体"/>
          <w:sz w:val="22"/>
          <w:szCs w:val="22"/>
        </w:rPr>
      </w:pPr>
      <w:r>
        <w:rPr>
          <w:rFonts w:hint="eastAsia" w:ascii="宋体" w:hAnsi="宋体" w:cs="宋体"/>
          <w:sz w:val="22"/>
          <w:szCs w:val="22"/>
        </w:rPr>
        <w:t>1.1  企业年金：指甲方及其职工在依法参加基本养老保险的基础上，自愿建立的补充养老保险制度。</w:t>
      </w:r>
    </w:p>
    <w:p w14:paraId="5DD88133">
      <w:pPr>
        <w:spacing w:line="360" w:lineRule="auto"/>
        <w:ind w:firstLine="440" w:firstLineChars="200"/>
        <w:rPr>
          <w:rFonts w:ascii="宋体" w:hAnsi="宋体" w:cs="宋体"/>
          <w:sz w:val="22"/>
          <w:szCs w:val="22"/>
        </w:rPr>
      </w:pPr>
      <w:r>
        <w:rPr>
          <w:rFonts w:hint="eastAsia" w:ascii="宋体" w:hAnsi="宋体" w:cs="宋体"/>
          <w:sz w:val="22"/>
          <w:szCs w:val="22"/>
        </w:rPr>
        <w:t>1.2  企业年金方案：指由甲方发起、甲方职工参与、经过甲方和甲方职工的集体协商，并经人力资源社会保障行政部门审核备案的具有法律效力的文件，内容包括甲方参加人员范围，资金筹集方式，个人账户管理方式，基金管理方式，企业年金待遇计发办法、支付方式、支付条件，组织管理和监督方式，中止缴费的条件及双方约定的其他事项等。</w:t>
      </w:r>
    </w:p>
    <w:p w14:paraId="2AA905C1">
      <w:pPr>
        <w:spacing w:line="360" w:lineRule="auto"/>
        <w:ind w:firstLine="440" w:firstLineChars="200"/>
        <w:rPr>
          <w:rFonts w:ascii="宋体" w:hAnsi="宋体" w:cs="宋体"/>
          <w:sz w:val="22"/>
          <w:szCs w:val="22"/>
        </w:rPr>
      </w:pPr>
      <w:r>
        <w:rPr>
          <w:rFonts w:hint="eastAsia" w:ascii="宋体" w:hAnsi="宋体" w:cs="宋体"/>
          <w:sz w:val="22"/>
          <w:szCs w:val="22"/>
        </w:rPr>
        <w:t>1.3  企业年金计划：由企业年金方案和企业年金基金管理合同等法律文件组成。</w:t>
      </w:r>
    </w:p>
    <w:p w14:paraId="270B1C15">
      <w:pPr>
        <w:spacing w:line="360" w:lineRule="auto"/>
        <w:ind w:firstLine="440" w:firstLineChars="200"/>
        <w:rPr>
          <w:rFonts w:ascii="宋体" w:hAnsi="宋体" w:cs="宋体"/>
          <w:sz w:val="22"/>
          <w:szCs w:val="22"/>
        </w:rPr>
      </w:pPr>
      <w:r>
        <w:rPr>
          <w:rFonts w:hint="eastAsia" w:ascii="宋体" w:hAnsi="宋体" w:cs="宋体"/>
          <w:sz w:val="22"/>
          <w:szCs w:val="22"/>
        </w:rPr>
        <w:t>1.4  企业年金单一计划：指受托人将单个委托人交付的企业年金基金，单独进行受托管理的企业年金计划。</w:t>
      </w:r>
    </w:p>
    <w:p w14:paraId="3886B2FA">
      <w:pPr>
        <w:spacing w:line="360" w:lineRule="auto"/>
        <w:ind w:firstLine="440" w:firstLineChars="200"/>
        <w:rPr>
          <w:rFonts w:ascii="宋体" w:hAnsi="宋体" w:cs="宋体"/>
          <w:sz w:val="22"/>
          <w:szCs w:val="22"/>
        </w:rPr>
      </w:pPr>
      <w:r>
        <w:rPr>
          <w:rFonts w:hint="eastAsia" w:ascii="宋体" w:hAnsi="宋体" w:cs="宋体"/>
          <w:sz w:val="22"/>
          <w:szCs w:val="22"/>
        </w:rPr>
        <w:t>1.5  企业年金集合计划：指同一受托人将多个委托人交付的企业年金基金，集中进行受托管理的企业年金计划。</w:t>
      </w:r>
    </w:p>
    <w:p w14:paraId="408B7BCD">
      <w:pPr>
        <w:spacing w:line="360" w:lineRule="auto"/>
        <w:ind w:firstLine="440" w:firstLineChars="200"/>
        <w:rPr>
          <w:rFonts w:ascii="宋体" w:hAnsi="宋体" w:cs="宋体"/>
          <w:sz w:val="22"/>
          <w:szCs w:val="22"/>
        </w:rPr>
      </w:pPr>
      <w:r>
        <w:rPr>
          <w:rFonts w:hint="eastAsia" w:ascii="宋体" w:hAnsi="宋体" w:cs="宋体"/>
          <w:sz w:val="22"/>
          <w:szCs w:val="22"/>
        </w:rPr>
        <w:t>1.6  企业年金基金财产：指甲方及其职工根据企业年金方案归集的资金及其投资运营收益形成的企业补充养老保险基金。</w:t>
      </w:r>
    </w:p>
    <w:p w14:paraId="3ABEF285">
      <w:pPr>
        <w:spacing w:line="360" w:lineRule="auto"/>
        <w:ind w:firstLine="440" w:firstLineChars="200"/>
        <w:rPr>
          <w:rFonts w:ascii="宋体" w:hAnsi="宋体" w:cs="宋体"/>
          <w:sz w:val="22"/>
          <w:szCs w:val="22"/>
        </w:rPr>
      </w:pPr>
      <w:r>
        <w:rPr>
          <w:rFonts w:hint="eastAsia" w:ascii="宋体" w:hAnsi="宋体" w:cs="宋体"/>
          <w:sz w:val="22"/>
          <w:szCs w:val="22"/>
        </w:rPr>
        <w:t>1.7  委托投资资产：指企业年金基金财产中已委托给投资管理人的资产。</w:t>
      </w:r>
    </w:p>
    <w:p w14:paraId="21875582">
      <w:pPr>
        <w:spacing w:line="360" w:lineRule="auto"/>
        <w:ind w:firstLine="440" w:firstLineChars="200"/>
        <w:rPr>
          <w:rFonts w:ascii="宋体" w:hAnsi="宋体" w:cs="宋体"/>
          <w:sz w:val="22"/>
          <w:szCs w:val="22"/>
        </w:rPr>
      </w:pPr>
      <w:r>
        <w:rPr>
          <w:rFonts w:hint="eastAsia" w:ascii="宋体" w:hAnsi="宋体" w:cs="宋体"/>
          <w:sz w:val="22"/>
          <w:szCs w:val="22"/>
        </w:rPr>
        <w:t>1.8  委托人：指建立企业年金计划的甲方及其职工。本合同中甲方代表委托人行使委托人的权利义务。</w:t>
      </w:r>
    </w:p>
    <w:p w14:paraId="4023A5D2">
      <w:pPr>
        <w:spacing w:line="360" w:lineRule="auto"/>
        <w:ind w:firstLine="440" w:firstLineChars="200"/>
        <w:rPr>
          <w:rFonts w:ascii="宋体" w:hAnsi="宋体" w:cs="宋体"/>
          <w:sz w:val="22"/>
          <w:szCs w:val="22"/>
        </w:rPr>
      </w:pPr>
      <w:r>
        <w:rPr>
          <w:rFonts w:hint="eastAsia" w:ascii="宋体" w:hAnsi="宋体" w:cs="宋体"/>
          <w:sz w:val="22"/>
          <w:szCs w:val="22"/>
        </w:rPr>
        <w:t>1.9  受益人：指按照企业年金方案规定，参加企业年金计划的甲方职工及其他享有企业年金计划受益权的自然人。</w:t>
      </w:r>
    </w:p>
    <w:p w14:paraId="7D8D4DD8">
      <w:pPr>
        <w:spacing w:line="360" w:lineRule="auto"/>
        <w:ind w:firstLine="440" w:firstLineChars="200"/>
        <w:rPr>
          <w:rFonts w:ascii="宋体" w:hAnsi="宋体" w:cs="宋体"/>
          <w:sz w:val="22"/>
          <w:szCs w:val="22"/>
        </w:rPr>
      </w:pPr>
      <w:r>
        <w:rPr>
          <w:rFonts w:hint="eastAsia" w:ascii="宋体" w:hAnsi="宋体" w:cs="宋体"/>
          <w:sz w:val="22"/>
          <w:szCs w:val="22"/>
        </w:rPr>
        <w:t>1.10  受托人：指受托管理企业年金基金的符合国家规定的养老金管理公司等法人受托机构，本合同中特指乙方。</w:t>
      </w:r>
    </w:p>
    <w:p w14:paraId="417C7879">
      <w:pPr>
        <w:spacing w:line="360" w:lineRule="auto"/>
        <w:ind w:firstLine="440" w:firstLineChars="200"/>
        <w:rPr>
          <w:rFonts w:ascii="宋体" w:hAnsi="宋体" w:cs="宋体"/>
          <w:sz w:val="22"/>
          <w:szCs w:val="22"/>
        </w:rPr>
      </w:pPr>
      <w:r>
        <w:rPr>
          <w:rFonts w:hint="eastAsia" w:ascii="宋体" w:hAnsi="宋体" w:cs="宋体"/>
          <w:sz w:val="22"/>
          <w:szCs w:val="22"/>
        </w:rPr>
        <w:t>1.11  账户管理人：指接受受托人委托管理企业年金基金账户的符合国家规定的专业机构。</w:t>
      </w:r>
    </w:p>
    <w:p w14:paraId="0E585771">
      <w:pPr>
        <w:spacing w:line="360" w:lineRule="auto"/>
        <w:ind w:firstLine="440" w:firstLineChars="200"/>
        <w:rPr>
          <w:rFonts w:ascii="宋体" w:hAnsi="宋体" w:cs="宋体"/>
          <w:sz w:val="22"/>
          <w:szCs w:val="22"/>
        </w:rPr>
      </w:pPr>
      <w:r>
        <w:rPr>
          <w:rFonts w:hint="eastAsia" w:ascii="宋体" w:hAnsi="宋体" w:cs="宋体"/>
          <w:sz w:val="22"/>
          <w:szCs w:val="22"/>
        </w:rPr>
        <w:t>1.12  托管人：指接受受托人委托保管企业年金基金财产的符合国家规定的商业银行。</w:t>
      </w:r>
    </w:p>
    <w:p w14:paraId="723F8677">
      <w:pPr>
        <w:spacing w:line="360" w:lineRule="auto"/>
        <w:ind w:firstLine="440" w:firstLineChars="200"/>
        <w:rPr>
          <w:rFonts w:ascii="宋体" w:hAnsi="宋体" w:cs="宋体"/>
          <w:sz w:val="22"/>
          <w:szCs w:val="22"/>
        </w:rPr>
      </w:pPr>
      <w:r>
        <w:rPr>
          <w:rFonts w:hint="eastAsia" w:ascii="宋体" w:hAnsi="宋体" w:cs="宋体"/>
          <w:sz w:val="22"/>
          <w:szCs w:val="22"/>
        </w:rPr>
        <w:t>1.13  投资管理人：指接受受托人委托投资管理企业年金基金财产的符合国家规定的专业机构。</w:t>
      </w:r>
    </w:p>
    <w:p w14:paraId="67506C67">
      <w:pPr>
        <w:spacing w:line="360" w:lineRule="auto"/>
        <w:ind w:firstLine="440" w:firstLineChars="200"/>
        <w:rPr>
          <w:rFonts w:ascii="宋体" w:hAnsi="宋体" w:cs="宋体"/>
          <w:sz w:val="22"/>
          <w:szCs w:val="22"/>
        </w:rPr>
      </w:pPr>
      <w:r>
        <w:rPr>
          <w:rFonts w:hint="eastAsia" w:ascii="宋体" w:hAnsi="宋体" w:cs="宋体"/>
          <w:sz w:val="22"/>
          <w:szCs w:val="22"/>
        </w:rPr>
        <w:t>1.14  账户管理合同：指乙方与账户管理人签订的《</w:t>
      </w:r>
      <w:r>
        <w:rPr>
          <w:rFonts w:hint="eastAsia" w:ascii="宋体" w:hAnsi="宋体" w:cs="宋体"/>
          <w:sz w:val="22"/>
          <w:szCs w:val="22"/>
          <w:u w:val="single"/>
        </w:rPr>
        <w:t xml:space="preserve">    </w:t>
      </w:r>
      <w:r>
        <w:rPr>
          <w:rFonts w:hint="eastAsia" w:ascii="宋体" w:hAnsi="宋体" w:cs="宋体"/>
          <w:sz w:val="22"/>
          <w:szCs w:val="22"/>
        </w:rPr>
        <w:t>企业年金计划账户管理合同》及其附件，以及乙方和账户管理人对该合同及附件做出的任何有效变更及补充。</w:t>
      </w:r>
    </w:p>
    <w:p w14:paraId="6976D634">
      <w:pPr>
        <w:spacing w:line="360" w:lineRule="auto"/>
        <w:ind w:firstLine="440" w:firstLineChars="200"/>
        <w:rPr>
          <w:rFonts w:ascii="宋体" w:hAnsi="宋体" w:cs="宋体"/>
          <w:sz w:val="22"/>
          <w:szCs w:val="22"/>
        </w:rPr>
      </w:pPr>
      <w:r>
        <w:rPr>
          <w:rFonts w:hint="eastAsia" w:ascii="宋体" w:hAnsi="宋体" w:cs="宋体"/>
          <w:sz w:val="22"/>
          <w:szCs w:val="22"/>
        </w:rPr>
        <w:t>1.15  托管合同：指乙方与托管人签订的《</w:t>
      </w:r>
      <w:r>
        <w:rPr>
          <w:rFonts w:hint="eastAsia" w:ascii="宋体" w:hAnsi="宋体" w:cs="宋体"/>
          <w:sz w:val="22"/>
          <w:szCs w:val="22"/>
          <w:u w:val="single"/>
        </w:rPr>
        <w:t xml:space="preserve">    </w:t>
      </w:r>
      <w:r>
        <w:rPr>
          <w:rFonts w:hint="eastAsia" w:ascii="宋体" w:hAnsi="宋体" w:cs="宋体"/>
          <w:sz w:val="22"/>
          <w:szCs w:val="22"/>
        </w:rPr>
        <w:t>企业年金计划托管合同》及其附件，以及乙方和托管人对该合同及附件做出的任何有效变更及补充。</w:t>
      </w:r>
    </w:p>
    <w:p w14:paraId="1B3FAB4E">
      <w:pPr>
        <w:spacing w:line="360" w:lineRule="auto"/>
        <w:ind w:firstLine="440" w:firstLineChars="200"/>
        <w:rPr>
          <w:rFonts w:ascii="宋体" w:hAnsi="宋体" w:cs="宋体"/>
          <w:sz w:val="22"/>
          <w:szCs w:val="22"/>
        </w:rPr>
      </w:pPr>
      <w:r>
        <w:rPr>
          <w:rFonts w:hint="eastAsia" w:ascii="宋体" w:hAnsi="宋体" w:cs="宋体"/>
          <w:sz w:val="22"/>
          <w:szCs w:val="22"/>
        </w:rPr>
        <w:t>1.16  投资管理合同：指乙方与投资管理人签订的《</w:t>
      </w:r>
      <w:r>
        <w:rPr>
          <w:rFonts w:hint="eastAsia" w:ascii="宋体" w:hAnsi="宋体" w:cs="宋体"/>
          <w:sz w:val="22"/>
          <w:szCs w:val="22"/>
          <w:u w:val="single"/>
        </w:rPr>
        <w:t xml:space="preserve">    </w:t>
      </w:r>
      <w:r>
        <w:rPr>
          <w:rFonts w:hint="eastAsia" w:ascii="宋体" w:hAnsi="宋体" w:cs="宋体"/>
          <w:sz w:val="22"/>
          <w:szCs w:val="22"/>
        </w:rPr>
        <w:t>企业年金计划投资管理合同》及其附件，以及乙方和投资管理人对该合同及附件做出的任何有效变更及补充。</w:t>
      </w:r>
    </w:p>
    <w:p w14:paraId="51A77037">
      <w:pPr>
        <w:spacing w:line="360" w:lineRule="auto"/>
        <w:ind w:firstLine="440" w:firstLineChars="200"/>
        <w:rPr>
          <w:rFonts w:ascii="宋体" w:hAnsi="宋体" w:cs="宋体"/>
          <w:sz w:val="22"/>
          <w:szCs w:val="22"/>
        </w:rPr>
      </w:pPr>
      <w:r>
        <w:rPr>
          <w:rFonts w:hint="eastAsia" w:ascii="宋体" w:hAnsi="宋体" w:cs="宋体"/>
          <w:sz w:val="22"/>
          <w:szCs w:val="22"/>
        </w:rPr>
        <w:t>1.17  受托财产托管账户：指托管人开立的、专门用于归集企业年金缴费、向投资资产托管账户划拨资金、向受益人支付企业年金待遇、依据法律法规规定支付企业年金管理费用或转移企业年金基金财产的专用存款账户。</w:t>
      </w:r>
    </w:p>
    <w:p w14:paraId="329F8980">
      <w:pPr>
        <w:spacing w:line="360" w:lineRule="auto"/>
        <w:ind w:firstLine="440" w:firstLineChars="200"/>
        <w:rPr>
          <w:rFonts w:ascii="宋体" w:hAnsi="宋体" w:cs="宋体"/>
          <w:sz w:val="22"/>
          <w:szCs w:val="22"/>
        </w:rPr>
      </w:pPr>
      <w:r>
        <w:rPr>
          <w:rFonts w:hint="eastAsia" w:ascii="宋体" w:hAnsi="宋体" w:cs="宋体"/>
          <w:sz w:val="22"/>
          <w:szCs w:val="22"/>
        </w:rPr>
        <w:t>1.18  投资资产托管账户：指托管人开立的、专门用于所托管的企业年金基金因投资运作而发生的资金清算交收的专用存款账户。</w:t>
      </w:r>
    </w:p>
    <w:p w14:paraId="7004CEA5">
      <w:pPr>
        <w:spacing w:line="360" w:lineRule="auto"/>
        <w:ind w:firstLine="440" w:firstLineChars="200"/>
        <w:rPr>
          <w:rFonts w:ascii="宋体" w:hAnsi="宋体" w:cs="宋体"/>
          <w:sz w:val="22"/>
          <w:szCs w:val="22"/>
        </w:rPr>
      </w:pPr>
      <w:r>
        <w:rPr>
          <w:rFonts w:hint="eastAsia" w:ascii="宋体" w:hAnsi="宋体" w:cs="宋体"/>
          <w:sz w:val="22"/>
          <w:szCs w:val="22"/>
        </w:rPr>
        <w:t>1.19  企业账户：指用于记录企业基本信息及企业年金计划权益信息的账户。企业基本信息至少应当包括企业编码、企业名称、组织机构代码、通讯地址、联系人姓名及电话；企业年金计划权益信息至少应当包括缴费、支付、投资收益、权益余额、未归属权益等信息。</w:t>
      </w:r>
    </w:p>
    <w:p w14:paraId="49D82B4E">
      <w:pPr>
        <w:spacing w:line="360" w:lineRule="auto"/>
        <w:ind w:firstLine="440" w:firstLineChars="200"/>
        <w:rPr>
          <w:rFonts w:ascii="宋体" w:hAnsi="宋体" w:cs="宋体"/>
          <w:sz w:val="22"/>
          <w:szCs w:val="22"/>
        </w:rPr>
      </w:pPr>
      <w:r>
        <w:rPr>
          <w:rFonts w:hint="eastAsia" w:ascii="宋体" w:hAnsi="宋体" w:cs="宋体"/>
          <w:sz w:val="22"/>
          <w:szCs w:val="22"/>
        </w:rPr>
        <w:t>1.20  个人账户：指用于记录职工个人基本信息、企业缴费信息、个人缴费信息、投资收益、已归属权益等信息的账户。</w:t>
      </w:r>
    </w:p>
    <w:p w14:paraId="483BEC67">
      <w:pPr>
        <w:spacing w:line="360" w:lineRule="auto"/>
        <w:ind w:firstLine="440" w:firstLineChars="200"/>
        <w:rPr>
          <w:rFonts w:ascii="宋体" w:hAnsi="宋体" w:cs="宋体"/>
          <w:sz w:val="22"/>
          <w:szCs w:val="22"/>
        </w:rPr>
      </w:pPr>
      <w:r>
        <w:rPr>
          <w:rFonts w:hint="eastAsia" w:ascii="宋体" w:hAnsi="宋体" w:cs="宋体"/>
          <w:sz w:val="22"/>
          <w:szCs w:val="22"/>
        </w:rPr>
        <w:t>1.21  保留账户：指职工因变动工作、升学、参军、失业等法律法规规定的原因离职或者企业年金计划终止且没有加入其他受托人管理的企业年金计划时，用于记录职工个人基本信息、投资收益、权益余额等信息的账户。</w:t>
      </w:r>
    </w:p>
    <w:p w14:paraId="78B3B870">
      <w:pPr>
        <w:spacing w:line="360" w:lineRule="auto"/>
        <w:ind w:firstLine="440" w:firstLineChars="200"/>
        <w:rPr>
          <w:rFonts w:ascii="宋体" w:hAnsi="宋体" w:cs="宋体"/>
          <w:sz w:val="22"/>
          <w:szCs w:val="22"/>
        </w:rPr>
      </w:pPr>
      <w:r>
        <w:rPr>
          <w:rFonts w:hint="eastAsia" w:ascii="宋体" w:hAnsi="宋体" w:cs="宋体"/>
          <w:sz w:val="22"/>
          <w:szCs w:val="22"/>
        </w:rPr>
        <w:t>1.22  退休账户：指职工退休选择分期领取企业年金待遇时，用于记录职工个人基本信息、企业年金待遇支付、投资收益、权益余额等信息的账户。</w:t>
      </w:r>
    </w:p>
    <w:p w14:paraId="2871FA30">
      <w:pPr>
        <w:spacing w:line="360" w:lineRule="auto"/>
        <w:ind w:firstLine="440" w:firstLineChars="200"/>
        <w:rPr>
          <w:rFonts w:ascii="宋体" w:hAnsi="宋体" w:cs="宋体"/>
          <w:sz w:val="22"/>
          <w:szCs w:val="22"/>
        </w:rPr>
      </w:pPr>
      <w:r>
        <w:rPr>
          <w:rFonts w:hint="eastAsia" w:ascii="宋体" w:hAnsi="宋体" w:cs="宋体"/>
          <w:sz w:val="22"/>
          <w:szCs w:val="22"/>
        </w:rPr>
        <w:t>1.23  已归属权益：指甲方职工符合企业年金方案规定的归属条件时，确定该职工企业年金个人账户中企业缴费及其投资运营收益中应当取得的权益。</w:t>
      </w:r>
    </w:p>
    <w:p w14:paraId="2E84029D">
      <w:pPr>
        <w:spacing w:line="360" w:lineRule="auto"/>
        <w:ind w:firstLine="440" w:firstLineChars="200"/>
        <w:rPr>
          <w:rFonts w:ascii="宋体" w:hAnsi="宋体" w:cs="宋体"/>
          <w:sz w:val="22"/>
          <w:szCs w:val="22"/>
        </w:rPr>
      </w:pPr>
      <w:r>
        <w:rPr>
          <w:rFonts w:hint="eastAsia" w:ascii="宋体" w:hAnsi="宋体" w:cs="宋体"/>
          <w:sz w:val="22"/>
          <w:szCs w:val="22"/>
        </w:rPr>
        <w:t>1.24  未归属权益：指甲方职工离开甲方时，按照企业年金方案规定的归属条件，职工个人账户中未能归属于职工的企业缴费及其投资运营收益。</w:t>
      </w:r>
    </w:p>
    <w:p w14:paraId="335BA460">
      <w:pPr>
        <w:spacing w:line="360" w:lineRule="auto"/>
        <w:ind w:firstLine="440" w:firstLineChars="200"/>
        <w:rPr>
          <w:rFonts w:ascii="宋体" w:hAnsi="宋体" w:cs="宋体"/>
          <w:sz w:val="22"/>
          <w:szCs w:val="22"/>
        </w:rPr>
      </w:pPr>
      <w:r>
        <w:rPr>
          <w:rFonts w:hint="eastAsia" w:ascii="宋体" w:hAnsi="宋体" w:cs="宋体"/>
          <w:sz w:val="22"/>
          <w:szCs w:val="22"/>
        </w:rPr>
        <w:t>1.25  个人账户权益：指企业年金个人账户中个人缴费及其投资运营收益以及受益人享有的已归属权益。</w:t>
      </w:r>
    </w:p>
    <w:p w14:paraId="0F9F7A23">
      <w:pPr>
        <w:spacing w:line="360" w:lineRule="auto"/>
        <w:ind w:firstLine="440" w:firstLineChars="200"/>
        <w:rPr>
          <w:rFonts w:ascii="宋体" w:hAnsi="宋体" w:cs="宋体"/>
          <w:sz w:val="22"/>
          <w:szCs w:val="22"/>
        </w:rPr>
      </w:pPr>
      <w:r>
        <w:rPr>
          <w:rFonts w:hint="eastAsia" w:ascii="宋体" w:hAnsi="宋体" w:cs="宋体"/>
          <w:sz w:val="22"/>
          <w:szCs w:val="22"/>
        </w:rPr>
        <w:t>1.26  企业年金待遇：指按照相关法律法规和企业年金方案应当支付给受益人的个人账户权益。</w:t>
      </w:r>
    </w:p>
    <w:p w14:paraId="2ED12A72">
      <w:pPr>
        <w:spacing w:line="360" w:lineRule="auto"/>
        <w:ind w:firstLine="440" w:firstLineChars="200"/>
        <w:rPr>
          <w:rFonts w:ascii="宋体" w:hAnsi="宋体" w:cs="宋体"/>
          <w:sz w:val="22"/>
          <w:szCs w:val="22"/>
        </w:rPr>
      </w:pPr>
      <w:r>
        <w:rPr>
          <w:rFonts w:hint="eastAsia" w:ascii="宋体" w:hAnsi="宋体" w:cs="宋体"/>
          <w:sz w:val="22"/>
          <w:szCs w:val="22"/>
        </w:rPr>
        <w:t>1.27  投资组合：指为分散风险而将企业年金基金分成的若干投资单元。</w:t>
      </w:r>
    </w:p>
    <w:p w14:paraId="2A76D3F2">
      <w:pPr>
        <w:spacing w:line="360" w:lineRule="auto"/>
        <w:ind w:firstLine="440" w:firstLineChars="200"/>
        <w:rPr>
          <w:rFonts w:ascii="宋体" w:hAnsi="宋体" w:cs="宋体"/>
          <w:sz w:val="22"/>
          <w:szCs w:val="22"/>
        </w:rPr>
      </w:pPr>
      <w:r>
        <w:rPr>
          <w:rFonts w:hint="eastAsia" w:ascii="宋体" w:hAnsi="宋体" w:cs="宋体"/>
          <w:sz w:val="22"/>
          <w:szCs w:val="22"/>
        </w:rPr>
        <w:t>1.28  投资管理风险准备金：指投资管理人从当期收取的投资管理费中提取的专项用于弥补合同终止时所管理投资组合的企业年金基金当期投资亏损的资金。</w:t>
      </w:r>
    </w:p>
    <w:p w14:paraId="5370ADCC">
      <w:pPr>
        <w:spacing w:line="360" w:lineRule="auto"/>
        <w:ind w:firstLine="440" w:firstLineChars="200"/>
        <w:rPr>
          <w:rFonts w:ascii="宋体" w:hAnsi="宋体" w:cs="宋体"/>
          <w:sz w:val="22"/>
          <w:szCs w:val="22"/>
        </w:rPr>
      </w:pPr>
      <w:r>
        <w:rPr>
          <w:rFonts w:hint="eastAsia" w:ascii="宋体" w:hAnsi="宋体" w:cs="宋体"/>
          <w:sz w:val="22"/>
          <w:szCs w:val="22"/>
        </w:rPr>
        <w:t>1.29  投资管理风险准备金账户：指投资管理人开立的、专门用于存放从投资管理人投资管理费中提取的投资管理风险准备金的专用存款账户。</w:t>
      </w:r>
    </w:p>
    <w:p w14:paraId="44BD2893">
      <w:pPr>
        <w:spacing w:line="360" w:lineRule="auto"/>
        <w:ind w:firstLine="440" w:firstLineChars="200"/>
        <w:rPr>
          <w:rFonts w:ascii="宋体" w:hAnsi="宋体" w:cs="宋体"/>
          <w:sz w:val="22"/>
          <w:szCs w:val="22"/>
        </w:rPr>
      </w:pPr>
      <w:r>
        <w:rPr>
          <w:rFonts w:hint="eastAsia" w:ascii="宋体" w:hAnsi="宋体" w:cs="宋体"/>
          <w:sz w:val="22"/>
          <w:szCs w:val="22"/>
        </w:rPr>
        <w:t>1.30  交易日：指上海证券交易所、深圳证券交易所等交易所正常的营业日。</w:t>
      </w:r>
    </w:p>
    <w:p w14:paraId="6676E303">
      <w:pPr>
        <w:spacing w:line="360" w:lineRule="auto"/>
        <w:ind w:firstLine="440" w:firstLineChars="200"/>
        <w:rPr>
          <w:rFonts w:ascii="宋体" w:hAnsi="宋体" w:cs="宋体"/>
          <w:sz w:val="22"/>
          <w:szCs w:val="22"/>
        </w:rPr>
      </w:pPr>
      <w:r>
        <w:rPr>
          <w:rFonts w:hint="eastAsia" w:ascii="宋体" w:hAnsi="宋体" w:cs="宋体"/>
          <w:sz w:val="22"/>
          <w:szCs w:val="22"/>
        </w:rPr>
        <w:t>1.31  审计费用：指对企业年金计划进行审计所发生的费用。</w:t>
      </w:r>
    </w:p>
    <w:p w14:paraId="09B1892D">
      <w:pPr>
        <w:spacing w:line="360" w:lineRule="auto"/>
        <w:ind w:firstLine="440" w:firstLineChars="200"/>
        <w:rPr>
          <w:rFonts w:ascii="宋体" w:hAnsi="宋体" w:cs="宋体"/>
          <w:sz w:val="22"/>
          <w:szCs w:val="22"/>
        </w:rPr>
      </w:pPr>
      <w:r>
        <w:rPr>
          <w:rFonts w:hint="eastAsia" w:ascii="宋体" w:hAnsi="宋体" w:cs="宋体"/>
          <w:sz w:val="22"/>
          <w:szCs w:val="22"/>
        </w:rPr>
        <w:t>1.32  交易费用：指因证券买卖所产生的印花税、手续费、过户费、证管费、交易单元佣金及账户维护费等费用。</w:t>
      </w:r>
    </w:p>
    <w:p w14:paraId="3F749A34">
      <w:pPr>
        <w:spacing w:line="360" w:lineRule="auto"/>
        <w:ind w:firstLine="440" w:firstLineChars="200"/>
        <w:rPr>
          <w:rFonts w:ascii="宋体" w:hAnsi="宋体" w:cs="宋体"/>
          <w:sz w:val="22"/>
          <w:szCs w:val="22"/>
        </w:rPr>
      </w:pPr>
      <w:r>
        <w:rPr>
          <w:rFonts w:hint="eastAsia" w:ascii="宋体" w:hAnsi="宋体" w:cs="宋体"/>
          <w:sz w:val="22"/>
          <w:szCs w:val="22"/>
        </w:rPr>
        <w:t>1.33  资金划拨费用：指因受托财产托管账户与投资资产托管账户之间的资金划拨、投资资产托管账户与证券市场、银行间债券市场、开放式基金等登记清算机构的资金账户之间的资金划拨、企业年金待遇领取的资金划拨以及支付有关费用等产生的汇划费用以及由此产生的银行票据购买等费用。</w:t>
      </w:r>
    </w:p>
    <w:p w14:paraId="2D5FF74F">
      <w:pPr>
        <w:spacing w:line="360" w:lineRule="auto"/>
        <w:ind w:firstLine="440" w:firstLineChars="200"/>
        <w:rPr>
          <w:rFonts w:ascii="宋体" w:hAnsi="宋体" w:cs="宋体"/>
          <w:sz w:val="22"/>
          <w:szCs w:val="22"/>
        </w:rPr>
      </w:pPr>
      <w:r>
        <w:rPr>
          <w:rFonts w:hint="eastAsia" w:ascii="宋体" w:hAnsi="宋体" w:cs="宋体"/>
          <w:sz w:val="22"/>
          <w:szCs w:val="22"/>
        </w:rPr>
        <w:t>1.34  开户费用：指托管人为企业年金计划及投资组合开设资金类和投资交易类等账户时所发生的费用。</w:t>
      </w:r>
    </w:p>
    <w:p w14:paraId="1515CCDE">
      <w:pPr>
        <w:spacing w:line="360" w:lineRule="auto"/>
        <w:ind w:firstLine="440" w:firstLineChars="200"/>
        <w:rPr>
          <w:rFonts w:ascii="宋体" w:hAnsi="宋体" w:cs="宋体"/>
          <w:sz w:val="22"/>
          <w:szCs w:val="22"/>
        </w:rPr>
      </w:pPr>
      <w:r>
        <w:rPr>
          <w:rFonts w:hint="eastAsia" w:ascii="宋体" w:hAnsi="宋体" w:cs="宋体"/>
          <w:sz w:val="22"/>
          <w:szCs w:val="22"/>
        </w:rPr>
        <w:t>1.35  清算费用：指企业年金计划终止时对企业年金基金财产进行清算时发生的费用。</w:t>
      </w:r>
    </w:p>
    <w:p w14:paraId="2E86DAD3">
      <w:pPr>
        <w:spacing w:line="360" w:lineRule="auto"/>
        <w:ind w:firstLine="440" w:firstLineChars="200"/>
        <w:rPr>
          <w:rFonts w:ascii="宋体" w:hAnsi="宋体" w:cs="宋体"/>
          <w:sz w:val="22"/>
          <w:szCs w:val="22"/>
        </w:rPr>
      </w:pPr>
      <w:r>
        <w:rPr>
          <w:rFonts w:hint="eastAsia" w:ascii="宋体" w:hAnsi="宋体" w:cs="宋体"/>
          <w:sz w:val="22"/>
          <w:szCs w:val="22"/>
        </w:rPr>
        <w:t>1.36  超缴：指委托人实际缴费金额大于缴费收账通知的应收缴费金额。</w:t>
      </w:r>
    </w:p>
    <w:p w14:paraId="296E6DDF">
      <w:pPr>
        <w:spacing w:line="360" w:lineRule="auto"/>
        <w:ind w:firstLine="440" w:firstLineChars="200"/>
        <w:rPr>
          <w:rFonts w:ascii="宋体" w:hAnsi="宋体" w:cs="宋体"/>
          <w:sz w:val="22"/>
          <w:szCs w:val="22"/>
        </w:rPr>
      </w:pPr>
      <w:r>
        <w:rPr>
          <w:rFonts w:hint="eastAsia" w:ascii="宋体" w:hAnsi="宋体" w:cs="宋体"/>
          <w:sz w:val="22"/>
          <w:szCs w:val="22"/>
        </w:rPr>
        <w:t>1.37  短缴：指委托人实际缴费金额小于缴费收账通知的应收缴费金额。</w:t>
      </w:r>
    </w:p>
    <w:p w14:paraId="5B89DABE">
      <w:pPr>
        <w:spacing w:line="360" w:lineRule="auto"/>
        <w:ind w:firstLine="440" w:firstLineChars="200"/>
        <w:rPr>
          <w:rFonts w:ascii="宋体" w:hAnsi="宋体" w:cs="宋体"/>
          <w:sz w:val="22"/>
          <w:szCs w:val="22"/>
        </w:rPr>
      </w:pPr>
      <w:r>
        <w:rPr>
          <w:rFonts w:hint="eastAsia" w:ascii="宋体" w:hAnsi="宋体" w:cs="宋体"/>
          <w:sz w:val="22"/>
          <w:szCs w:val="22"/>
        </w:rPr>
        <w:t>1.38  管理职责终止日：指企业年金计划的受托人、账户管理人、托管人或投资管理人职责终止，新旧管理人业务移交手续办理完毕之日，具体日期由受托人与新旧管理人协商确定。</w:t>
      </w:r>
    </w:p>
    <w:p w14:paraId="494CEF41">
      <w:pPr>
        <w:spacing w:line="360" w:lineRule="auto"/>
        <w:ind w:firstLine="440" w:firstLineChars="200"/>
        <w:rPr>
          <w:rFonts w:ascii="宋体" w:hAnsi="宋体" w:cs="宋体"/>
          <w:sz w:val="22"/>
          <w:szCs w:val="22"/>
        </w:rPr>
      </w:pPr>
      <w:r>
        <w:rPr>
          <w:rFonts w:hint="eastAsia" w:ascii="宋体" w:hAnsi="宋体" w:cs="宋体"/>
          <w:sz w:val="22"/>
          <w:szCs w:val="22"/>
        </w:rPr>
        <w:t>1.39  法律法规： 本合同所称法律法规指国家现行有效并公布实施的法律、行政法规、司法解释、部门规章及规范性文件等。</w:t>
      </w:r>
    </w:p>
    <w:p w14:paraId="7AAF5A75">
      <w:pPr>
        <w:spacing w:line="360" w:lineRule="auto"/>
        <w:ind w:firstLine="440" w:firstLineChars="200"/>
        <w:rPr>
          <w:rFonts w:ascii="宋体" w:hAnsi="宋体" w:cs="宋体"/>
          <w:sz w:val="22"/>
          <w:szCs w:val="22"/>
        </w:rPr>
      </w:pPr>
      <w:r>
        <w:rPr>
          <w:rFonts w:hint="eastAsia" w:ascii="宋体" w:hAnsi="宋体" w:cs="宋体"/>
          <w:sz w:val="22"/>
          <w:szCs w:val="22"/>
        </w:rPr>
        <w:t>1.40  不可抗力：指甲乙双方不能预见、不能避免且不能克服的客观情况，包括但不限于自然灾害、社会政治动乱和战争，以及证券交易所、中国证券登记结算有限责任公司、中央国债登记结算有限责任公司、银行间市场清算所股份有限公司等证券交易和结算机构的交易系统故障。</w:t>
      </w:r>
    </w:p>
    <w:p w14:paraId="72529E04">
      <w:pPr>
        <w:spacing w:line="360" w:lineRule="auto"/>
        <w:ind w:firstLine="440" w:firstLineChars="200"/>
        <w:rPr>
          <w:rFonts w:ascii="宋体" w:hAnsi="宋体" w:cs="宋体"/>
          <w:sz w:val="22"/>
          <w:szCs w:val="22"/>
        </w:rPr>
      </w:pPr>
      <w:r>
        <w:rPr>
          <w:rFonts w:hint="eastAsia" w:ascii="宋体" w:hAnsi="宋体" w:cs="宋体"/>
          <w:sz w:val="22"/>
          <w:szCs w:val="22"/>
        </w:rPr>
        <w:t>1.41  损失：本合同、附件以及后续签订的补充协议中所指的损失均指直接损失。</w:t>
      </w:r>
    </w:p>
    <w:p w14:paraId="35B61D7A">
      <w:pPr>
        <w:spacing w:line="360" w:lineRule="auto"/>
        <w:jc w:val="center"/>
        <w:rPr>
          <w:rFonts w:ascii="宋体" w:hAnsi="宋体" w:cs="宋体"/>
          <w:sz w:val="22"/>
          <w:szCs w:val="22"/>
        </w:rPr>
      </w:pPr>
      <w:bookmarkStart w:id="14" w:name="_Toc311040982"/>
      <w:bookmarkStart w:id="15" w:name="_Toc319932540"/>
      <w:bookmarkStart w:id="16" w:name="_Toc10476"/>
      <w:r>
        <w:rPr>
          <w:rFonts w:hint="eastAsia" w:ascii="宋体" w:hAnsi="宋体" w:cs="宋体"/>
          <w:sz w:val="22"/>
          <w:szCs w:val="22"/>
        </w:rPr>
        <w:t>第二章  声明与承诺</w:t>
      </w:r>
      <w:bookmarkEnd w:id="14"/>
      <w:bookmarkEnd w:id="15"/>
      <w:bookmarkEnd w:id="16"/>
    </w:p>
    <w:p w14:paraId="6D1F7075">
      <w:pPr>
        <w:spacing w:line="360" w:lineRule="auto"/>
        <w:ind w:firstLine="440" w:firstLineChars="200"/>
        <w:rPr>
          <w:rFonts w:ascii="宋体" w:hAnsi="宋体" w:cs="宋体"/>
          <w:sz w:val="22"/>
          <w:szCs w:val="22"/>
        </w:rPr>
      </w:pPr>
      <w:bookmarkStart w:id="17" w:name="_Toc30549"/>
      <w:r>
        <w:rPr>
          <w:rFonts w:hint="eastAsia" w:ascii="宋体" w:hAnsi="宋体" w:cs="宋体"/>
          <w:sz w:val="22"/>
          <w:szCs w:val="22"/>
        </w:rPr>
        <w:t>2.1  甲方声明与承诺。</w:t>
      </w:r>
      <w:bookmarkEnd w:id="17"/>
    </w:p>
    <w:p w14:paraId="4B8F0F3A">
      <w:pPr>
        <w:spacing w:line="360" w:lineRule="auto"/>
        <w:ind w:firstLine="440" w:firstLineChars="200"/>
        <w:rPr>
          <w:rFonts w:ascii="宋体" w:hAnsi="宋体" w:cs="宋体"/>
          <w:sz w:val="22"/>
          <w:szCs w:val="22"/>
        </w:rPr>
      </w:pPr>
      <w:r>
        <w:rPr>
          <w:rFonts w:hint="eastAsia" w:ascii="宋体" w:hAnsi="宋体" w:cs="宋体"/>
          <w:sz w:val="22"/>
          <w:szCs w:val="22"/>
        </w:rPr>
        <w:t>2.1.1  甲方声明已通过职工大会(或者职工代表大会）讨论确定，取得职工的合法授权，代表委托人签署本合同，并可代为处理与受益人相关的事项，但法律法规规定、本合同约定及根据行为性质只能由受益人自己处理的事项除外。</w:t>
      </w:r>
    </w:p>
    <w:p w14:paraId="2E3A1E01">
      <w:pPr>
        <w:spacing w:line="360" w:lineRule="auto"/>
        <w:ind w:firstLine="440" w:firstLineChars="200"/>
        <w:rPr>
          <w:rFonts w:ascii="宋体" w:hAnsi="宋体" w:cs="宋体"/>
          <w:sz w:val="22"/>
          <w:szCs w:val="22"/>
        </w:rPr>
      </w:pPr>
      <w:r>
        <w:rPr>
          <w:rFonts w:hint="eastAsia" w:ascii="宋体" w:hAnsi="宋体" w:cs="宋体"/>
          <w:sz w:val="22"/>
          <w:szCs w:val="22"/>
        </w:rPr>
        <w:t>2.1.2  甲方声明已了解国家关于企业年金的法律法规规定及本合同约定，充分认识到企业年金基金财产运作过程中可能存在的风险，自愿按照法律法规规定及本合同约定将其合法拥有的按照其企业年金方案所归集的企业年金基金财产委托给乙方管理运用、处分。</w:t>
      </w:r>
    </w:p>
    <w:p w14:paraId="5FE88117">
      <w:pPr>
        <w:spacing w:line="360" w:lineRule="auto"/>
        <w:ind w:firstLine="440" w:firstLineChars="200"/>
        <w:rPr>
          <w:rFonts w:ascii="宋体" w:hAnsi="宋体" w:cs="宋体"/>
          <w:sz w:val="22"/>
          <w:szCs w:val="22"/>
        </w:rPr>
      </w:pPr>
      <w:r>
        <w:rPr>
          <w:rFonts w:hint="eastAsia" w:ascii="宋体" w:hAnsi="宋体" w:cs="宋体"/>
          <w:sz w:val="22"/>
          <w:szCs w:val="22"/>
        </w:rPr>
        <w:t>2.1.3  甲方声明甲方依据企业年金计划设立的相关文件和资料，签署本合同并履行本合同约定的义务，行使本合同项下的权利，不违反甲方章程和适用于甲方的任何生效判决、裁定、授权及协议，不会为其他任何第三方所质疑，并为合同有效执行负有责任。</w:t>
      </w:r>
    </w:p>
    <w:p w14:paraId="70921F27">
      <w:pPr>
        <w:spacing w:line="360" w:lineRule="auto"/>
        <w:ind w:firstLine="440" w:firstLineChars="200"/>
        <w:rPr>
          <w:rFonts w:ascii="宋体" w:hAnsi="宋体" w:cs="宋体"/>
          <w:sz w:val="22"/>
          <w:szCs w:val="22"/>
        </w:rPr>
      </w:pPr>
      <w:r>
        <w:rPr>
          <w:rFonts w:hint="eastAsia" w:ascii="宋体" w:hAnsi="宋体" w:cs="宋体"/>
          <w:sz w:val="22"/>
          <w:szCs w:val="22"/>
        </w:rPr>
        <w:t>2.1.4  甲方承诺企业年金基金财产来源及用途符合法律法规规定，并保证企业年金基金财产没有用于任何担保和抵押，亦无其他任何限制性条件妨碍乙方对企业年金基金财产进行受托管理。</w:t>
      </w:r>
    </w:p>
    <w:p w14:paraId="0A368861">
      <w:pPr>
        <w:spacing w:line="360" w:lineRule="auto"/>
        <w:ind w:firstLine="440" w:firstLineChars="200"/>
        <w:rPr>
          <w:rFonts w:ascii="宋体" w:hAnsi="宋体" w:cs="宋体"/>
          <w:sz w:val="22"/>
          <w:szCs w:val="22"/>
        </w:rPr>
      </w:pPr>
      <w:r>
        <w:rPr>
          <w:rFonts w:hint="eastAsia" w:ascii="宋体" w:hAnsi="宋体" w:cs="宋体"/>
          <w:sz w:val="22"/>
          <w:szCs w:val="22"/>
        </w:rPr>
        <w:t>2.1.5  甲方承诺提供给乙方的所有信息资料均合法、真实、准确、完整，没有任何虚假陈述、重大遗漏和误导。</w:t>
      </w:r>
    </w:p>
    <w:p w14:paraId="593622DA">
      <w:pPr>
        <w:spacing w:line="360" w:lineRule="auto"/>
        <w:ind w:firstLine="440" w:firstLineChars="200"/>
        <w:rPr>
          <w:rFonts w:ascii="宋体" w:hAnsi="宋体" w:cs="宋体"/>
          <w:sz w:val="22"/>
          <w:szCs w:val="22"/>
        </w:rPr>
      </w:pPr>
      <w:bookmarkStart w:id="18" w:name="_Toc31054"/>
      <w:r>
        <w:rPr>
          <w:rFonts w:hint="eastAsia" w:ascii="宋体" w:hAnsi="宋体" w:cs="宋体"/>
          <w:sz w:val="22"/>
          <w:szCs w:val="22"/>
        </w:rPr>
        <w:t>2.2  乙方声明与承诺。</w:t>
      </w:r>
      <w:bookmarkEnd w:id="18"/>
    </w:p>
    <w:p w14:paraId="6029FCC3">
      <w:pPr>
        <w:spacing w:line="360" w:lineRule="auto"/>
        <w:ind w:firstLine="440" w:firstLineChars="200"/>
        <w:rPr>
          <w:rFonts w:ascii="宋体" w:hAnsi="宋体" w:cs="宋体"/>
          <w:sz w:val="22"/>
          <w:szCs w:val="22"/>
        </w:rPr>
      </w:pPr>
      <w:r>
        <w:rPr>
          <w:rFonts w:hint="eastAsia" w:ascii="宋体" w:hAnsi="宋体" w:cs="宋体"/>
          <w:sz w:val="22"/>
          <w:szCs w:val="22"/>
        </w:rPr>
        <w:t>2.2.1  乙方声明本公司为根据法律法规合法设立并有效存续、依法取得企业年金基金受托管理业务资格、受托管理企业年金基金财产的法人受托机构。</w:t>
      </w:r>
    </w:p>
    <w:p w14:paraId="5EF304A4">
      <w:pPr>
        <w:spacing w:line="360" w:lineRule="auto"/>
        <w:ind w:firstLine="440" w:firstLineChars="200"/>
        <w:rPr>
          <w:rFonts w:ascii="宋体" w:hAnsi="宋体" w:cs="宋体"/>
          <w:sz w:val="22"/>
          <w:szCs w:val="22"/>
        </w:rPr>
      </w:pPr>
      <w:r>
        <w:rPr>
          <w:rFonts w:hint="eastAsia" w:ascii="宋体" w:hAnsi="宋体" w:cs="宋体"/>
          <w:sz w:val="22"/>
          <w:szCs w:val="22"/>
        </w:rPr>
        <w:t>2.2.2  乙方声明签署本合同、履行其在本合同项下的义务、行使其在本合同项下的权利，不违反乙方章程和适用于乙方的任何生效判决、裁定、授权及协议。</w:t>
      </w:r>
    </w:p>
    <w:p w14:paraId="211430CA">
      <w:pPr>
        <w:spacing w:line="360" w:lineRule="auto"/>
        <w:ind w:firstLine="440" w:firstLineChars="200"/>
        <w:rPr>
          <w:rFonts w:ascii="宋体" w:hAnsi="宋体" w:cs="宋体"/>
          <w:sz w:val="22"/>
          <w:szCs w:val="22"/>
        </w:rPr>
      </w:pPr>
      <w:r>
        <w:rPr>
          <w:rFonts w:hint="eastAsia" w:ascii="宋体" w:hAnsi="宋体" w:cs="宋体"/>
          <w:sz w:val="22"/>
          <w:szCs w:val="22"/>
        </w:rPr>
        <w:t>2.2.3  乙方声明市场存在风险，不保证企业年金基金财产管理过程中本金不受损失，亦不保证一定盈利。</w:t>
      </w:r>
    </w:p>
    <w:p w14:paraId="3CD749E0">
      <w:pPr>
        <w:spacing w:line="360" w:lineRule="auto"/>
        <w:ind w:firstLine="440" w:firstLineChars="200"/>
        <w:rPr>
          <w:rFonts w:ascii="宋体" w:hAnsi="宋体" w:cs="宋体"/>
          <w:sz w:val="22"/>
          <w:szCs w:val="22"/>
        </w:rPr>
      </w:pPr>
      <w:r>
        <w:rPr>
          <w:rFonts w:hint="eastAsia" w:ascii="宋体" w:hAnsi="宋体" w:cs="宋体"/>
          <w:sz w:val="22"/>
          <w:szCs w:val="22"/>
        </w:rPr>
        <w:t>2.2.4  乙方承诺严格遵守法律法规规定、企业年金管理机构行业自律公约和本合同约定，恪尽职守，按照诚实、信用、谨慎、勤勉的原则，履行受托管理职责，为受益人最大利益管理和处分企业年金基金财产。</w:t>
      </w:r>
    </w:p>
    <w:p w14:paraId="68CB72B2">
      <w:pPr>
        <w:spacing w:line="360" w:lineRule="auto"/>
        <w:ind w:firstLine="440" w:firstLineChars="200"/>
        <w:rPr>
          <w:rFonts w:ascii="宋体" w:hAnsi="宋体" w:cs="宋体"/>
          <w:sz w:val="22"/>
          <w:szCs w:val="22"/>
        </w:rPr>
      </w:pPr>
      <w:r>
        <w:rPr>
          <w:rFonts w:hint="eastAsia" w:ascii="宋体" w:hAnsi="宋体" w:cs="宋体"/>
          <w:sz w:val="22"/>
          <w:szCs w:val="22"/>
        </w:rPr>
        <w:t>2.2.5  乙方承诺提供给甲方的所有信息资料均合法、真实、准确、完整，没有任何虚假陈述、重大遗漏和误导。</w:t>
      </w:r>
    </w:p>
    <w:p w14:paraId="05856860">
      <w:pPr>
        <w:spacing w:line="360" w:lineRule="auto"/>
        <w:jc w:val="center"/>
        <w:rPr>
          <w:rFonts w:ascii="宋体" w:hAnsi="宋体" w:cs="宋体"/>
          <w:sz w:val="22"/>
          <w:szCs w:val="22"/>
        </w:rPr>
      </w:pPr>
      <w:bookmarkStart w:id="19" w:name="_Toc31674"/>
      <w:bookmarkStart w:id="20" w:name="_Toc311040983"/>
      <w:bookmarkStart w:id="21" w:name="_Toc319932541"/>
      <w:bookmarkStart w:id="22" w:name="_Toc196484064"/>
      <w:r>
        <w:rPr>
          <w:rFonts w:hint="eastAsia" w:ascii="宋体" w:hAnsi="宋体" w:cs="宋体"/>
          <w:sz w:val="22"/>
          <w:szCs w:val="22"/>
        </w:rPr>
        <w:t>第三章  受托的设立</w:t>
      </w:r>
      <w:bookmarkEnd w:id="19"/>
      <w:bookmarkEnd w:id="20"/>
      <w:bookmarkEnd w:id="21"/>
      <w:bookmarkEnd w:id="22"/>
    </w:p>
    <w:p w14:paraId="35B8EAFC">
      <w:pPr>
        <w:spacing w:line="360" w:lineRule="auto"/>
        <w:ind w:firstLine="440" w:firstLineChars="200"/>
        <w:rPr>
          <w:rFonts w:ascii="宋体" w:hAnsi="宋体" w:cs="宋体"/>
          <w:sz w:val="22"/>
          <w:szCs w:val="22"/>
        </w:rPr>
      </w:pPr>
      <w:bookmarkStart w:id="23" w:name="_Toc11170"/>
      <w:r>
        <w:rPr>
          <w:rFonts w:hint="eastAsia" w:ascii="宋体" w:hAnsi="宋体" w:cs="宋体"/>
          <w:sz w:val="22"/>
          <w:szCs w:val="22"/>
        </w:rPr>
        <w:t>3.1  设立的条件。</w:t>
      </w:r>
      <w:bookmarkEnd w:id="23"/>
    </w:p>
    <w:p w14:paraId="54772A5C">
      <w:pPr>
        <w:spacing w:line="360" w:lineRule="auto"/>
        <w:ind w:firstLine="440" w:firstLineChars="200"/>
        <w:rPr>
          <w:rFonts w:ascii="宋体" w:hAnsi="宋体" w:cs="宋体"/>
          <w:sz w:val="22"/>
          <w:szCs w:val="22"/>
        </w:rPr>
      </w:pPr>
      <w:r>
        <w:rPr>
          <w:rFonts w:hint="eastAsia" w:ascii="宋体" w:hAnsi="宋体" w:cs="宋体"/>
          <w:sz w:val="22"/>
          <w:szCs w:val="22"/>
        </w:rPr>
        <w:t>甲方企业年金方案已经过人力资源社会保障行政部门备案，方案备案文号为</w:t>
      </w:r>
      <w:r>
        <w:rPr>
          <w:rFonts w:hint="eastAsia" w:ascii="宋体" w:hAnsi="宋体" w:cs="宋体"/>
          <w:sz w:val="22"/>
          <w:szCs w:val="22"/>
          <w:u w:val="single"/>
        </w:rPr>
        <w:t xml:space="preserve">     </w:t>
      </w:r>
      <w:r>
        <w:rPr>
          <w:rFonts w:hint="eastAsia" w:ascii="宋体" w:hAnsi="宋体" w:cs="宋体"/>
          <w:sz w:val="22"/>
          <w:szCs w:val="22"/>
        </w:rPr>
        <w:t>。</w:t>
      </w:r>
    </w:p>
    <w:p w14:paraId="54CF5145">
      <w:pPr>
        <w:spacing w:line="360" w:lineRule="auto"/>
        <w:ind w:firstLine="440" w:firstLineChars="200"/>
        <w:rPr>
          <w:rFonts w:ascii="宋体" w:hAnsi="宋体" w:cs="宋体"/>
          <w:sz w:val="22"/>
          <w:szCs w:val="22"/>
        </w:rPr>
      </w:pPr>
      <w:bookmarkStart w:id="24" w:name="_Toc17874"/>
      <w:r>
        <w:rPr>
          <w:rFonts w:hint="eastAsia" w:ascii="宋体" w:hAnsi="宋体" w:cs="宋体"/>
          <w:sz w:val="22"/>
          <w:szCs w:val="22"/>
        </w:rPr>
        <w:t>3.2  设立的目的。</w:t>
      </w:r>
      <w:bookmarkEnd w:id="24"/>
    </w:p>
    <w:p w14:paraId="1C814226">
      <w:pPr>
        <w:spacing w:line="360" w:lineRule="auto"/>
        <w:ind w:firstLine="440" w:firstLineChars="200"/>
        <w:rPr>
          <w:rFonts w:ascii="宋体" w:hAnsi="宋体" w:cs="宋体"/>
          <w:sz w:val="22"/>
          <w:szCs w:val="22"/>
        </w:rPr>
      </w:pPr>
      <w:r>
        <w:rPr>
          <w:rFonts w:hint="eastAsia" w:ascii="宋体" w:hAnsi="宋体" w:cs="宋体"/>
          <w:sz w:val="22"/>
          <w:szCs w:val="22"/>
        </w:rPr>
        <w:t>保障企业年金基金财产的独立性，争取实现企业年金基金保值增值，提高受益人退休后的收入水平。</w:t>
      </w:r>
    </w:p>
    <w:p w14:paraId="1A5F7369">
      <w:pPr>
        <w:tabs>
          <w:tab w:val="left" w:pos="2700"/>
        </w:tabs>
        <w:spacing w:line="360" w:lineRule="auto"/>
        <w:ind w:firstLine="440" w:firstLineChars="200"/>
        <w:rPr>
          <w:rFonts w:ascii="宋体" w:hAnsi="宋体" w:cs="宋体"/>
          <w:sz w:val="22"/>
          <w:szCs w:val="22"/>
        </w:rPr>
      </w:pPr>
      <w:bookmarkStart w:id="25" w:name="_Toc19256"/>
      <w:r>
        <w:rPr>
          <w:rFonts w:hint="eastAsia" w:ascii="宋体" w:hAnsi="宋体" w:cs="宋体"/>
          <w:sz w:val="22"/>
          <w:szCs w:val="22"/>
        </w:rPr>
        <w:t>3.3  受托财产。</w:t>
      </w:r>
      <w:bookmarkEnd w:id="25"/>
    </w:p>
    <w:p w14:paraId="26C7C179">
      <w:pPr>
        <w:tabs>
          <w:tab w:val="left" w:pos="2700"/>
        </w:tabs>
        <w:spacing w:line="360" w:lineRule="auto"/>
        <w:ind w:firstLine="440" w:firstLineChars="200"/>
        <w:rPr>
          <w:rFonts w:ascii="宋体" w:hAnsi="宋体" w:cs="宋体"/>
          <w:sz w:val="22"/>
          <w:szCs w:val="22"/>
        </w:rPr>
      </w:pPr>
      <w:r>
        <w:rPr>
          <w:rFonts w:hint="eastAsia" w:ascii="宋体" w:hAnsi="宋体" w:cs="宋体"/>
          <w:sz w:val="22"/>
          <w:szCs w:val="22"/>
        </w:rPr>
        <w:t>甲方委托乙方按本合同约定进行受托管理的企业年金基金财产。</w:t>
      </w:r>
    </w:p>
    <w:p w14:paraId="692618A1">
      <w:pPr>
        <w:spacing w:line="360" w:lineRule="auto"/>
        <w:ind w:firstLine="440" w:firstLineChars="200"/>
        <w:rPr>
          <w:rFonts w:ascii="宋体" w:hAnsi="宋体" w:cs="宋体"/>
          <w:sz w:val="22"/>
          <w:szCs w:val="22"/>
        </w:rPr>
      </w:pPr>
      <w:bookmarkStart w:id="26" w:name="_Toc2581"/>
      <w:r>
        <w:rPr>
          <w:rFonts w:hint="eastAsia" w:ascii="宋体" w:hAnsi="宋体" w:cs="宋体"/>
          <w:sz w:val="22"/>
          <w:szCs w:val="22"/>
        </w:rPr>
        <w:t>3.4  受托的成立。</w:t>
      </w:r>
      <w:bookmarkEnd w:id="26"/>
    </w:p>
    <w:p w14:paraId="4455383D">
      <w:pPr>
        <w:spacing w:line="360" w:lineRule="auto"/>
        <w:ind w:firstLine="440" w:firstLineChars="200"/>
        <w:rPr>
          <w:rFonts w:ascii="宋体" w:hAnsi="宋体" w:cs="宋体"/>
          <w:sz w:val="22"/>
          <w:szCs w:val="22"/>
        </w:rPr>
      </w:pPr>
      <w:r>
        <w:rPr>
          <w:rFonts w:hint="eastAsia" w:ascii="宋体" w:hAnsi="宋体" w:cs="宋体"/>
          <w:sz w:val="22"/>
          <w:szCs w:val="22"/>
        </w:rPr>
        <w:t>甲方与乙方签订的受托管理合同以及乙方与其他管理人分别签订的委托管理合同，经人力资源社会保障行政部门备案后，受托成立。</w:t>
      </w:r>
    </w:p>
    <w:p w14:paraId="0807E03C">
      <w:pPr>
        <w:spacing w:line="360" w:lineRule="auto"/>
        <w:jc w:val="center"/>
        <w:rPr>
          <w:rFonts w:ascii="宋体" w:hAnsi="宋体" w:cs="宋体"/>
          <w:sz w:val="22"/>
          <w:szCs w:val="22"/>
        </w:rPr>
      </w:pPr>
      <w:bookmarkStart w:id="27" w:name="_Toc319932542"/>
      <w:bookmarkStart w:id="28" w:name="_Toc311040984"/>
      <w:bookmarkStart w:id="29" w:name="_Toc16258"/>
      <w:r>
        <w:rPr>
          <w:rFonts w:hint="eastAsia" w:ascii="宋体" w:hAnsi="宋体" w:cs="宋体"/>
          <w:sz w:val="22"/>
          <w:szCs w:val="22"/>
        </w:rPr>
        <w:t>第四章  受托当事人的权利与义务</w:t>
      </w:r>
      <w:bookmarkEnd w:id="27"/>
      <w:bookmarkEnd w:id="28"/>
      <w:bookmarkEnd w:id="29"/>
    </w:p>
    <w:p w14:paraId="621637AB">
      <w:pPr>
        <w:spacing w:line="360" w:lineRule="auto"/>
        <w:ind w:firstLine="440" w:firstLineChars="200"/>
        <w:rPr>
          <w:rFonts w:ascii="宋体" w:hAnsi="宋体" w:cs="宋体"/>
          <w:sz w:val="22"/>
          <w:szCs w:val="22"/>
        </w:rPr>
      </w:pPr>
      <w:bookmarkStart w:id="30" w:name="_Toc27546"/>
      <w:r>
        <w:rPr>
          <w:rFonts w:hint="eastAsia" w:ascii="宋体" w:hAnsi="宋体" w:cs="宋体"/>
          <w:sz w:val="22"/>
          <w:szCs w:val="22"/>
        </w:rPr>
        <w:t>4.1  受托当事人。</w:t>
      </w:r>
      <w:bookmarkEnd w:id="30"/>
    </w:p>
    <w:p w14:paraId="442378FA">
      <w:pPr>
        <w:spacing w:line="360" w:lineRule="auto"/>
        <w:ind w:firstLine="440" w:firstLineChars="200"/>
        <w:rPr>
          <w:rFonts w:ascii="宋体" w:hAnsi="宋体" w:cs="宋体"/>
          <w:sz w:val="22"/>
          <w:szCs w:val="22"/>
        </w:rPr>
      </w:pPr>
      <w:r>
        <w:rPr>
          <w:rFonts w:hint="eastAsia" w:ascii="宋体" w:hAnsi="宋体" w:cs="宋体"/>
          <w:sz w:val="22"/>
          <w:szCs w:val="22"/>
        </w:rPr>
        <w:t>受托当事人为甲方、乙方和受益人。</w:t>
      </w:r>
    </w:p>
    <w:p w14:paraId="34E53BA6">
      <w:pPr>
        <w:spacing w:line="360" w:lineRule="auto"/>
        <w:ind w:firstLine="440" w:firstLineChars="200"/>
        <w:rPr>
          <w:rFonts w:ascii="宋体" w:hAnsi="宋体" w:cs="宋体"/>
          <w:sz w:val="22"/>
          <w:szCs w:val="22"/>
        </w:rPr>
      </w:pPr>
      <w:bookmarkStart w:id="31" w:name="_Toc200433424"/>
      <w:bookmarkStart w:id="32" w:name="_Toc200433616"/>
      <w:bookmarkStart w:id="33" w:name="_Toc196484069"/>
      <w:bookmarkStart w:id="34" w:name="_Toc200853037"/>
      <w:bookmarkStart w:id="35" w:name="_Toc23271"/>
      <w:r>
        <w:rPr>
          <w:rFonts w:hint="eastAsia" w:ascii="宋体" w:hAnsi="宋体" w:cs="宋体"/>
          <w:sz w:val="22"/>
          <w:szCs w:val="22"/>
        </w:rPr>
        <w:t>4.2  甲方的权利与义务</w:t>
      </w:r>
      <w:bookmarkEnd w:id="31"/>
      <w:bookmarkEnd w:id="32"/>
      <w:bookmarkEnd w:id="33"/>
      <w:bookmarkEnd w:id="34"/>
      <w:r>
        <w:rPr>
          <w:rFonts w:hint="eastAsia" w:ascii="宋体" w:hAnsi="宋体" w:cs="宋体"/>
          <w:sz w:val="22"/>
          <w:szCs w:val="22"/>
        </w:rPr>
        <w:t>。</w:t>
      </w:r>
      <w:bookmarkEnd w:id="35"/>
    </w:p>
    <w:p w14:paraId="08900989">
      <w:pPr>
        <w:spacing w:line="360" w:lineRule="auto"/>
        <w:ind w:firstLine="440" w:firstLineChars="200"/>
        <w:rPr>
          <w:rFonts w:ascii="宋体" w:hAnsi="宋体" w:cs="宋体"/>
          <w:sz w:val="22"/>
          <w:szCs w:val="22"/>
        </w:rPr>
      </w:pPr>
      <w:r>
        <w:rPr>
          <w:rFonts w:hint="eastAsia" w:ascii="宋体" w:hAnsi="宋体" w:cs="宋体"/>
          <w:sz w:val="22"/>
          <w:szCs w:val="22"/>
        </w:rPr>
        <w:t>4.2.1  甲方的权利。</w:t>
      </w:r>
    </w:p>
    <w:p w14:paraId="14D27DEF">
      <w:pPr>
        <w:spacing w:line="360" w:lineRule="auto"/>
        <w:ind w:firstLine="440" w:firstLineChars="200"/>
        <w:rPr>
          <w:rFonts w:ascii="宋体" w:hAnsi="宋体" w:cs="宋体"/>
          <w:sz w:val="22"/>
          <w:szCs w:val="22"/>
        </w:rPr>
      </w:pPr>
      <w:r>
        <w:rPr>
          <w:rFonts w:hint="eastAsia" w:ascii="宋体" w:hAnsi="宋体" w:cs="宋体"/>
          <w:sz w:val="22"/>
          <w:szCs w:val="22"/>
        </w:rPr>
        <w:t>4.2.1.1  监督乙方的受托管理行为。</w:t>
      </w:r>
    </w:p>
    <w:p w14:paraId="1A5DD75E">
      <w:pPr>
        <w:spacing w:line="360" w:lineRule="auto"/>
        <w:ind w:firstLine="440" w:firstLineChars="200"/>
        <w:rPr>
          <w:rFonts w:ascii="宋体" w:hAnsi="宋体" w:cs="宋体"/>
          <w:sz w:val="22"/>
          <w:szCs w:val="22"/>
        </w:rPr>
      </w:pPr>
      <w:r>
        <w:rPr>
          <w:rFonts w:hint="eastAsia" w:ascii="宋体" w:hAnsi="宋体" w:cs="宋体"/>
          <w:sz w:val="22"/>
          <w:szCs w:val="22"/>
        </w:rPr>
        <w:t>4.2.1.2  向乙方了解企业年金基金财产管理、处分及收支情况，并有权要求乙方作出说明。</w:t>
      </w:r>
    </w:p>
    <w:p w14:paraId="121F5AF0">
      <w:pPr>
        <w:spacing w:line="360" w:lineRule="auto"/>
        <w:ind w:firstLine="440" w:firstLineChars="200"/>
        <w:rPr>
          <w:rFonts w:ascii="宋体" w:hAnsi="宋体" w:cs="宋体"/>
          <w:sz w:val="22"/>
          <w:szCs w:val="22"/>
        </w:rPr>
      </w:pPr>
      <w:r>
        <w:rPr>
          <w:rFonts w:hint="eastAsia" w:ascii="宋体" w:hAnsi="宋体" w:cs="宋体"/>
          <w:sz w:val="22"/>
          <w:szCs w:val="22"/>
        </w:rPr>
        <w:t>4.2.1.3  依据法律法规规定，查阅、抄录或者复制与企业年金基金财产有关的财务资料以及与企业年金基金管理有关的其他资料。</w:t>
      </w:r>
    </w:p>
    <w:p w14:paraId="5CB34DD1">
      <w:pPr>
        <w:spacing w:line="360" w:lineRule="auto"/>
        <w:ind w:firstLine="440" w:firstLineChars="200"/>
        <w:rPr>
          <w:rFonts w:ascii="宋体" w:hAnsi="宋体" w:cs="宋体"/>
          <w:sz w:val="22"/>
          <w:szCs w:val="22"/>
        </w:rPr>
      </w:pPr>
      <w:r>
        <w:rPr>
          <w:rFonts w:hint="eastAsia" w:ascii="宋体" w:hAnsi="宋体" w:cs="宋体"/>
          <w:sz w:val="22"/>
          <w:szCs w:val="22"/>
        </w:rPr>
        <w:t>4.2.1.4  按本合同约定终止本合同。</w:t>
      </w:r>
    </w:p>
    <w:p w14:paraId="5C172837">
      <w:pPr>
        <w:spacing w:line="360" w:lineRule="auto"/>
        <w:ind w:firstLine="440" w:firstLineChars="200"/>
        <w:rPr>
          <w:rFonts w:ascii="宋体" w:hAnsi="宋体" w:cs="宋体"/>
          <w:sz w:val="22"/>
          <w:szCs w:val="22"/>
        </w:rPr>
      </w:pPr>
      <w:r>
        <w:rPr>
          <w:rFonts w:hint="eastAsia" w:ascii="宋体" w:hAnsi="宋体" w:cs="宋体"/>
          <w:sz w:val="22"/>
          <w:szCs w:val="22"/>
        </w:rPr>
        <w:t>4.2.1.5  向乙方查阅企业年金计划的委托管理合同。</w:t>
      </w:r>
    </w:p>
    <w:p w14:paraId="48C94C27">
      <w:pPr>
        <w:spacing w:line="360" w:lineRule="auto"/>
        <w:ind w:firstLine="440" w:firstLineChars="200"/>
        <w:rPr>
          <w:rFonts w:ascii="宋体" w:hAnsi="宋体" w:cs="宋体"/>
          <w:sz w:val="22"/>
          <w:szCs w:val="22"/>
        </w:rPr>
      </w:pPr>
      <w:r>
        <w:rPr>
          <w:rFonts w:hint="eastAsia" w:ascii="宋体" w:hAnsi="宋体" w:cs="宋体"/>
          <w:sz w:val="22"/>
          <w:szCs w:val="22"/>
        </w:rPr>
        <w:t>4.2.1.6  行使法律法规规定及本合同约定的其他权利。</w:t>
      </w:r>
    </w:p>
    <w:p w14:paraId="5031C3CC">
      <w:pPr>
        <w:spacing w:line="360" w:lineRule="auto"/>
        <w:ind w:firstLine="440" w:firstLineChars="200"/>
        <w:rPr>
          <w:rFonts w:ascii="宋体" w:hAnsi="宋体" w:cs="宋体"/>
          <w:sz w:val="22"/>
          <w:szCs w:val="22"/>
        </w:rPr>
      </w:pPr>
      <w:r>
        <w:rPr>
          <w:rFonts w:hint="eastAsia" w:ascii="宋体" w:hAnsi="宋体" w:cs="宋体"/>
          <w:sz w:val="22"/>
          <w:szCs w:val="22"/>
        </w:rPr>
        <w:t>4.2.2  甲方的义务。</w:t>
      </w:r>
    </w:p>
    <w:p w14:paraId="6DAFDDB9">
      <w:pPr>
        <w:spacing w:line="360" w:lineRule="auto"/>
        <w:ind w:firstLine="440" w:firstLineChars="200"/>
        <w:rPr>
          <w:rFonts w:ascii="宋体" w:hAnsi="宋体" w:cs="宋体"/>
          <w:sz w:val="22"/>
          <w:szCs w:val="22"/>
        </w:rPr>
      </w:pPr>
      <w:r>
        <w:rPr>
          <w:rFonts w:hint="eastAsia" w:ascii="宋体" w:hAnsi="宋体" w:cs="宋体"/>
          <w:sz w:val="22"/>
          <w:szCs w:val="22"/>
        </w:rPr>
        <w:t>4.2.2.1  遵守法律法规规定及本合同约定，不损害国家、社会公众和受益人的合法权益，如法律法规调整，应当及时与乙方协商，相应调整本合同相关内容。</w:t>
      </w:r>
    </w:p>
    <w:p w14:paraId="342D5F5B">
      <w:pPr>
        <w:spacing w:line="360" w:lineRule="auto"/>
        <w:ind w:firstLine="440" w:firstLineChars="200"/>
        <w:rPr>
          <w:rFonts w:ascii="宋体" w:hAnsi="宋体" w:cs="宋体"/>
          <w:sz w:val="22"/>
          <w:szCs w:val="22"/>
        </w:rPr>
      </w:pPr>
      <w:r>
        <w:rPr>
          <w:rFonts w:hint="eastAsia" w:ascii="宋体" w:hAnsi="宋体" w:cs="宋体"/>
          <w:sz w:val="22"/>
          <w:szCs w:val="22"/>
        </w:rPr>
        <w:t>4.2.2.2  按企业年金方案规定缴费，并于企业年金基金缴费归集到受托财产托管账户后配合乙方在45日内将缴费划入投资资产托管账户。</w:t>
      </w:r>
    </w:p>
    <w:p w14:paraId="19A8DEF1">
      <w:pPr>
        <w:spacing w:line="360" w:lineRule="auto"/>
        <w:ind w:firstLine="440" w:firstLineChars="200"/>
        <w:rPr>
          <w:rFonts w:ascii="宋体" w:hAnsi="宋体" w:cs="宋体"/>
          <w:sz w:val="22"/>
          <w:szCs w:val="22"/>
        </w:rPr>
      </w:pPr>
      <w:r>
        <w:rPr>
          <w:rFonts w:hint="eastAsia" w:ascii="宋体" w:hAnsi="宋体" w:cs="宋体"/>
          <w:sz w:val="22"/>
          <w:szCs w:val="22"/>
        </w:rPr>
        <w:t>4.2.2.3  及时足额支付账户管理费；同意乙方按本合同约定从企业年金基金财产中列支受托管理费、托管费、投资管理费和其他有关费用。</w:t>
      </w:r>
    </w:p>
    <w:p w14:paraId="2B977700">
      <w:pPr>
        <w:spacing w:line="360" w:lineRule="auto"/>
        <w:ind w:firstLine="440" w:firstLineChars="200"/>
        <w:rPr>
          <w:rFonts w:ascii="宋体" w:hAnsi="宋体" w:cs="宋体"/>
          <w:sz w:val="22"/>
          <w:szCs w:val="22"/>
        </w:rPr>
      </w:pPr>
      <w:r>
        <w:rPr>
          <w:rFonts w:hint="eastAsia" w:ascii="宋体" w:hAnsi="宋体" w:cs="宋体"/>
          <w:sz w:val="22"/>
          <w:szCs w:val="22"/>
        </w:rPr>
        <w:t>4.2.2.4  及时向乙方提供企业年金方案建立和运作所必需的相关资料和信息，包括企业基本信息、职工个人基本信息、缴费信息、支付年金待遇的相关证明等，并承担本合同和企业年金方案约定的管理流程中确认数据等各项职责。其中，企业基本信息应当包括企业编码、企业名称、组织机构代码、通讯地址、联系人姓名及电话等信息，个人基本信息应当包括企业年金计划编码、姓名、性别、出生日期、居民身份证号码或其他有效身份证件号码、通信地址、联系电话、参加工作日期、参加计划日期等信息。</w:t>
      </w:r>
    </w:p>
    <w:p w14:paraId="7C7A029B">
      <w:pPr>
        <w:spacing w:line="360" w:lineRule="auto"/>
        <w:ind w:firstLine="440" w:firstLineChars="200"/>
        <w:rPr>
          <w:rFonts w:ascii="宋体" w:hAnsi="宋体" w:cs="宋体"/>
          <w:sz w:val="22"/>
          <w:szCs w:val="22"/>
        </w:rPr>
      </w:pPr>
      <w:r>
        <w:rPr>
          <w:rFonts w:hint="eastAsia" w:ascii="宋体" w:hAnsi="宋体" w:cs="宋体"/>
          <w:sz w:val="22"/>
          <w:szCs w:val="22"/>
        </w:rPr>
        <w:t>4.2.2.5  向受益人披露企业年金基金管理相关信息，包括但不限于：本合同内容、受益人个人账户状态变更情况、企业年金计划的定期报告、临时报告、审计报告及清算报告等。</w:t>
      </w:r>
    </w:p>
    <w:p w14:paraId="6DAD8962">
      <w:pPr>
        <w:spacing w:line="360" w:lineRule="auto"/>
        <w:ind w:firstLine="440" w:firstLineChars="200"/>
        <w:rPr>
          <w:rFonts w:ascii="宋体" w:hAnsi="宋体" w:cs="宋体"/>
          <w:sz w:val="22"/>
          <w:szCs w:val="22"/>
        </w:rPr>
      </w:pPr>
      <w:r>
        <w:rPr>
          <w:rFonts w:hint="eastAsia" w:ascii="宋体" w:hAnsi="宋体" w:cs="宋体"/>
          <w:sz w:val="22"/>
          <w:szCs w:val="22"/>
        </w:rPr>
        <w:t>4.2.2.6  如变更企业年金方案，变更内容涉及受托管理职责的，应当提前与乙方协商。甲方应当及时向人力资源社会保障行政部门报备变更后的企业年金方案，并及时书面告知乙方。</w:t>
      </w:r>
    </w:p>
    <w:p w14:paraId="783A9B63">
      <w:pPr>
        <w:spacing w:line="360" w:lineRule="auto"/>
        <w:ind w:firstLine="440" w:firstLineChars="200"/>
        <w:rPr>
          <w:rFonts w:ascii="宋体" w:hAnsi="宋体" w:cs="宋体"/>
          <w:sz w:val="22"/>
          <w:szCs w:val="22"/>
        </w:rPr>
      </w:pPr>
      <w:r>
        <w:rPr>
          <w:rFonts w:hint="eastAsia" w:ascii="宋体" w:hAnsi="宋体" w:cs="宋体"/>
          <w:sz w:val="22"/>
          <w:szCs w:val="22"/>
        </w:rPr>
        <w:t>4.2.2.7  如甲方终止企业年金计划，应当向乙方提出申请将受益人的个人账户权益转至保留账户管理。</w:t>
      </w:r>
    </w:p>
    <w:p w14:paraId="6AF4B9AA">
      <w:pPr>
        <w:spacing w:line="360" w:lineRule="auto"/>
        <w:ind w:firstLine="440" w:firstLineChars="200"/>
        <w:rPr>
          <w:rFonts w:ascii="宋体" w:hAnsi="宋体" w:cs="宋体"/>
          <w:sz w:val="22"/>
          <w:szCs w:val="22"/>
        </w:rPr>
      </w:pPr>
      <w:r>
        <w:rPr>
          <w:rFonts w:hint="eastAsia" w:ascii="宋体" w:hAnsi="宋体" w:cs="宋体"/>
          <w:sz w:val="22"/>
          <w:szCs w:val="22"/>
        </w:rPr>
        <w:t>4.2.2.8  甲方无正当理由不得干预乙方行使法律法规赋予的受托人职责。如因甲方无故干预，导致企业年金基金财产受到损失的，该损失由甲方承担。</w:t>
      </w:r>
    </w:p>
    <w:p w14:paraId="09C6B316">
      <w:pPr>
        <w:spacing w:line="360" w:lineRule="auto"/>
        <w:ind w:firstLine="440" w:firstLineChars="200"/>
        <w:rPr>
          <w:rFonts w:ascii="宋体" w:hAnsi="宋体" w:cs="宋体"/>
          <w:sz w:val="22"/>
          <w:szCs w:val="22"/>
        </w:rPr>
      </w:pPr>
      <w:r>
        <w:rPr>
          <w:rFonts w:hint="eastAsia" w:ascii="宋体" w:hAnsi="宋体" w:cs="宋体"/>
          <w:sz w:val="22"/>
          <w:szCs w:val="22"/>
        </w:rPr>
        <w:t>4.2.2.9  完整保存与本合同有关的凭证、合同及协议等资料，自合同终止之日起至少15年。</w:t>
      </w:r>
    </w:p>
    <w:p w14:paraId="0079C513">
      <w:pPr>
        <w:spacing w:line="360" w:lineRule="auto"/>
        <w:ind w:firstLine="440" w:firstLineChars="200"/>
        <w:rPr>
          <w:rFonts w:ascii="宋体" w:hAnsi="宋体" w:cs="宋体"/>
          <w:sz w:val="22"/>
          <w:szCs w:val="22"/>
        </w:rPr>
      </w:pPr>
      <w:r>
        <w:rPr>
          <w:rFonts w:hint="eastAsia" w:ascii="宋体" w:hAnsi="宋体" w:cs="宋体"/>
          <w:sz w:val="22"/>
          <w:szCs w:val="22"/>
        </w:rPr>
        <w:t>4.2.2.10  履行法律法规规定及本合同约定的其他义务。</w:t>
      </w:r>
    </w:p>
    <w:p w14:paraId="0F9288E9">
      <w:pPr>
        <w:spacing w:line="360" w:lineRule="auto"/>
        <w:ind w:firstLine="440" w:firstLineChars="200"/>
        <w:rPr>
          <w:rFonts w:ascii="宋体" w:hAnsi="宋体" w:cs="宋体"/>
          <w:sz w:val="22"/>
          <w:szCs w:val="22"/>
        </w:rPr>
      </w:pPr>
      <w:bookmarkStart w:id="36" w:name="_Toc200433617"/>
      <w:bookmarkStart w:id="37" w:name="_Toc200853038"/>
      <w:bookmarkStart w:id="38" w:name="_Toc196484070"/>
      <w:bookmarkStart w:id="39" w:name="_Toc200433425"/>
      <w:bookmarkStart w:id="40" w:name="_Toc26675"/>
      <w:r>
        <w:rPr>
          <w:rFonts w:hint="eastAsia" w:ascii="宋体" w:hAnsi="宋体" w:cs="宋体"/>
          <w:sz w:val="22"/>
          <w:szCs w:val="22"/>
        </w:rPr>
        <w:t>4.3  乙方的权利与义务</w:t>
      </w:r>
      <w:bookmarkEnd w:id="36"/>
      <w:bookmarkEnd w:id="37"/>
      <w:bookmarkEnd w:id="38"/>
      <w:bookmarkEnd w:id="39"/>
      <w:r>
        <w:rPr>
          <w:rFonts w:hint="eastAsia" w:ascii="宋体" w:hAnsi="宋体" w:cs="宋体"/>
          <w:sz w:val="22"/>
          <w:szCs w:val="22"/>
        </w:rPr>
        <w:t>。</w:t>
      </w:r>
      <w:bookmarkEnd w:id="40"/>
    </w:p>
    <w:p w14:paraId="75D7B5A0">
      <w:pPr>
        <w:spacing w:line="360" w:lineRule="auto"/>
        <w:ind w:firstLine="440" w:firstLineChars="200"/>
        <w:rPr>
          <w:rFonts w:ascii="宋体" w:hAnsi="宋体" w:cs="宋体"/>
          <w:sz w:val="22"/>
          <w:szCs w:val="22"/>
        </w:rPr>
      </w:pPr>
      <w:r>
        <w:rPr>
          <w:rFonts w:hint="eastAsia" w:ascii="宋体" w:hAnsi="宋体" w:cs="宋体"/>
          <w:sz w:val="22"/>
          <w:szCs w:val="22"/>
        </w:rPr>
        <w:t>4.3.1  乙方的权利。</w:t>
      </w:r>
    </w:p>
    <w:p w14:paraId="31F44BF1">
      <w:pPr>
        <w:spacing w:line="360" w:lineRule="auto"/>
        <w:ind w:firstLine="440" w:firstLineChars="200"/>
        <w:rPr>
          <w:rFonts w:ascii="宋体" w:hAnsi="宋体" w:cs="宋体"/>
          <w:sz w:val="22"/>
          <w:szCs w:val="22"/>
        </w:rPr>
      </w:pPr>
      <w:r>
        <w:rPr>
          <w:rFonts w:hint="eastAsia" w:ascii="宋体" w:hAnsi="宋体" w:cs="宋体"/>
          <w:sz w:val="22"/>
          <w:szCs w:val="22"/>
        </w:rPr>
        <w:t>4.3.1.1  自本合同生效之日起，有权依据法律法规规定及本合同约定，管理运用、处分企业年金基金财产。</w:t>
      </w:r>
    </w:p>
    <w:p w14:paraId="5AB020F0">
      <w:pPr>
        <w:spacing w:line="360" w:lineRule="auto"/>
        <w:ind w:firstLine="440" w:firstLineChars="200"/>
        <w:rPr>
          <w:rFonts w:ascii="宋体" w:hAnsi="宋体" w:cs="宋体"/>
          <w:sz w:val="22"/>
          <w:szCs w:val="22"/>
        </w:rPr>
      </w:pPr>
      <w:r>
        <w:rPr>
          <w:rFonts w:hint="eastAsia" w:ascii="宋体" w:hAnsi="宋体" w:cs="宋体"/>
          <w:sz w:val="22"/>
          <w:szCs w:val="22"/>
        </w:rPr>
        <w:t>4.3.1.2  依据本合同约定及时从甲方获得与企业年金计划管理有关的业务资料及信息。</w:t>
      </w:r>
    </w:p>
    <w:p w14:paraId="22FFE37E">
      <w:pPr>
        <w:spacing w:line="360" w:lineRule="auto"/>
        <w:ind w:firstLine="440" w:firstLineChars="200"/>
        <w:rPr>
          <w:rFonts w:ascii="宋体" w:hAnsi="宋体" w:cs="宋体"/>
          <w:sz w:val="22"/>
          <w:szCs w:val="22"/>
        </w:rPr>
      </w:pPr>
      <w:r>
        <w:rPr>
          <w:rFonts w:hint="eastAsia" w:ascii="宋体" w:hAnsi="宋体" w:cs="宋体"/>
          <w:sz w:val="22"/>
          <w:szCs w:val="22"/>
        </w:rPr>
        <w:t>4.3.1.3  选择、监督、更换账户管理人、托管人和投资管理人。</w:t>
      </w:r>
    </w:p>
    <w:p w14:paraId="49CBF07E">
      <w:pPr>
        <w:spacing w:line="360" w:lineRule="auto"/>
        <w:ind w:firstLine="440" w:firstLineChars="200"/>
        <w:rPr>
          <w:rFonts w:ascii="宋体" w:hAnsi="宋体" w:cs="宋体"/>
          <w:sz w:val="22"/>
          <w:szCs w:val="22"/>
        </w:rPr>
      </w:pPr>
      <w:r>
        <w:rPr>
          <w:rFonts w:hint="eastAsia" w:ascii="宋体" w:hAnsi="宋体" w:cs="宋体"/>
          <w:sz w:val="22"/>
          <w:szCs w:val="22"/>
        </w:rPr>
        <w:t>4.3.1.4  依据本合同约定从受托财产中收取受托管理费；要求甲方按照账户管理合同约定及时、足额支付账户管理费；依据托管合同、投资管理合同约定从企业年金基金财产中列支托管费和投资管理费。</w:t>
      </w:r>
    </w:p>
    <w:p w14:paraId="042866EF">
      <w:pPr>
        <w:spacing w:line="360" w:lineRule="auto"/>
        <w:ind w:firstLine="440" w:firstLineChars="200"/>
        <w:rPr>
          <w:rFonts w:ascii="宋体" w:hAnsi="宋体" w:cs="宋体"/>
          <w:sz w:val="22"/>
          <w:szCs w:val="22"/>
        </w:rPr>
      </w:pPr>
      <w:r>
        <w:rPr>
          <w:rFonts w:hint="eastAsia" w:ascii="宋体" w:hAnsi="宋体" w:cs="宋体"/>
          <w:sz w:val="22"/>
          <w:szCs w:val="22"/>
        </w:rPr>
        <w:t>4.3.1.5  甲方依法解散、被依法撤销、被依法宣告破产或者被依法接管无法继续履行本合同时，甲方未及时办理受益人的个人账户权益转至保留账户相关手续的，乙方有权将受益人的个人账户权益转至乙方发起设立的企业年金集合计划下的保留账户管理。</w:t>
      </w:r>
    </w:p>
    <w:p w14:paraId="003153CA">
      <w:pPr>
        <w:spacing w:line="360" w:lineRule="auto"/>
        <w:ind w:firstLine="440" w:firstLineChars="200"/>
        <w:rPr>
          <w:rFonts w:ascii="宋体" w:hAnsi="宋体" w:cs="宋体"/>
          <w:sz w:val="22"/>
          <w:szCs w:val="22"/>
        </w:rPr>
      </w:pPr>
      <w:r>
        <w:rPr>
          <w:rFonts w:hint="eastAsia" w:ascii="宋体" w:hAnsi="宋体" w:cs="宋体"/>
          <w:sz w:val="22"/>
          <w:szCs w:val="22"/>
        </w:rPr>
        <w:t>4.3.1.6  当甲方的指令同有关法律法规相抵触时，乙方有权拒绝执行。</w:t>
      </w:r>
    </w:p>
    <w:p w14:paraId="56E3F207">
      <w:pPr>
        <w:spacing w:line="360" w:lineRule="auto"/>
        <w:ind w:firstLine="440" w:firstLineChars="200"/>
        <w:rPr>
          <w:rFonts w:ascii="宋体" w:hAnsi="宋体" w:cs="宋体"/>
          <w:sz w:val="22"/>
          <w:szCs w:val="22"/>
        </w:rPr>
      </w:pPr>
      <w:r>
        <w:rPr>
          <w:rFonts w:hint="eastAsia" w:ascii="宋体" w:hAnsi="宋体" w:cs="宋体"/>
          <w:sz w:val="22"/>
          <w:szCs w:val="22"/>
        </w:rPr>
        <w:t>4.3.1.7  行使法律法规规定及本合同约定的其他权利。</w:t>
      </w:r>
    </w:p>
    <w:p w14:paraId="0F3CF0B0">
      <w:pPr>
        <w:spacing w:line="360" w:lineRule="auto"/>
        <w:ind w:firstLine="440" w:firstLineChars="200"/>
        <w:rPr>
          <w:rFonts w:ascii="宋体" w:hAnsi="宋体" w:cs="宋体"/>
          <w:sz w:val="22"/>
          <w:szCs w:val="22"/>
        </w:rPr>
      </w:pPr>
      <w:r>
        <w:rPr>
          <w:rFonts w:hint="eastAsia" w:ascii="宋体" w:hAnsi="宋体" w:cs="宋体"/>
          <w:sz w:val="22"/>
          <w:szCs w:val="22"/>
        </w:rPr>
        <w:t>4.3.2  乙方的义务。</w:t>
      </w:r>
    </w:p>
    <w:p w14:paraId="13C8AD1A">
      <w:pPr>
        <w:spacing w:line="360" w:lineRule="auto"/>
        <w:ind w:firstLine="440" w:firstLineChars="200"/>
        <w:rPr>
          <w:rFonts w:ascii="宋体" w:hAnsi="宋体" w:cs="宋体"/>
          <w:sz w:val="22"/>
          <w:szCs w:val="22"/>
        </w:rPr>
      </w:pPr>
      <w:r>
        <w:rPr>
          <w:rFonts w:hint="eastAsia" w:ascii="宋体" w:hAnsi="宋体" w:cs="宋体"/>
          <w:sz w:val="22"/>
          <w:szCs w:val="22"/>
        </w:rPr>
        <w:t>4.3.2.1  遵守法律法规规定及本合同约定，不损害国家、社会公众和受益人的合法权益，如法律法规调整，应当及时与甲方协商，相应调整本合同相关内容。</w:t>
      </w:r>
    </w:p>
    <w:p w14:paraId="328450F1">
      <w:pPr>
        <w:spacing w:line="360" w:lineRule="auto"/>
        <w:ind w:firstLine="440" w:firstLineChars="200"/>
        <w:rPr>
          <w:rFonts w:ascii="宋体" w:hAnsi="宋体" w:cs="宋体"/>
          <w:sz w:val="22"/>
          <w:szCs w:val="22"/>
        </w:rPr>
      </w:pPr>
      <w:r>
        <w:rPr>
          <w:rFonts w:hint="eastAsia" w:ascii="宋体" w:hAnsi="宋体" w:cs="宋体"/>
          <w:sz w:val="22"/>
          <w:szCs w:val="22"/>
        </w:rPr>
        <w:t>4.3.2.2  遵守本合同约定，本着受益人长期利益最大化原则履行受托职责。</w:t>
      </w:r>
    </w:p>
    <w:p w14:paraId="3D88E2BE">
      <w:pPr>
        <w:spacing w:line="360" w:lineRule="auto"/>
        <w:ind w:firstLine="440" w:firstLineChars="200"/>
        <w:rPr>
          <w:rFonts w:ascii="宋体" w:hAnsi="宋体" w:cs="宋体"/>
          <w:sz w:val="22"/>
          <w:szCs w:val="22"/>
        </w:rPr>
      </w:pPr>
      <w:r>
        <w:rPr>
          <w:rFonts w:hint="eastAsia" w:ascii="宋体" w:hAnsi="宋体" w:cs="宋体"/>
          <w:sz w:val="22"/>
          <w:szCs w:val="22"/>
        </w:rPr>
        <w:t>4.3.2.3  建立健全内部风险控制、监察与稽核、财务管理及人事管理等制度，设置相应部门，并配备足够专业人员，严格控制企业年金基金运作风险。</w:t>
      </w:r>
    </w:p>
    <w:p w14:paraId="27090344">
      <w:pPr>
        <w:spacing w:line="360" w:lineRule="auto"/>
        <w:ind w:firstLine="440" w:firstLineChars="200"/>
        <w:rPr>
          <w:rFonts w:ascii="宋体" w:hAnsi="宋体" w:cs="宋体"/>
          <w:sz w:val="22"/>
          <w:szCs w:val="22"/>
        </w:rPr>
      </w:pPr>
      <w:r>
        <w:rPr>
          <w:rFonts w:hint="eastAsia" w:ascii="宋体" w:hAnsi="宋体" w:cs="宋体"/>
          <w:sz w:val="22"/>
          <w:szCs w:val="22"/>
        </w:rPr>
        <w:t>4.3.2.4  除依照法律法规规定及本合同约定取得报酬外，不得利用企业年金基金财产谋取不正当利益。</w:t>
      </w:r>
    </w:p>
    <w:p w14:paraId="31876D8C">
      <w:pPr>
        <w:spacing w:line="360" w:lineRule="auto"/>
        <w:ind w:firstLine="440" w:firstLineChars="200"/>
        <w:rPr>
          <w:rFonts w:ascii="宋体" w:hAnsi="宋体" w:cs="宋体"/>
          <w:sz w:val="22"/>
          <w:szCs w:val="22"/>
        </w:rPr>
      </w:pPr>
      <w:r>
        <w:rPr>
          <w:rFonts w:hint="eastAsia" w:ascii="宋体" w:hAnsi="宋体" w:cs="宋体"/>
          <w:sz w:val="22"/>
          <w:szCs w:val="22"/>
        </w:rPr>
        <w:t>4.3.2.5  将企业年金基金财产与乙方的固有财产及乙方管理的其他财产分别管理、分别记账。</w:t>
      </w:r>
    </w:p>
    <w:p w14:paraId="7B4ADA74">
      <w:pPr>
        <w:spacing w:line="360" w:lineRule="auto"/>
        <w:ind w:firstLine="440" w:firstLineChars="200"/>
        <w:rPr>
          <w:rFonts w:ascii="宋体" w:hAnsi="宋体" w:cs="宋体"/>
          <w:sz w:val="22"/>
          <w:szCs w:val="22"/>
        </w:rPr>
      </w:pPr>
      <w:r>
        <w:rPr>
          <w:rFonts w:hint="eastAsia" w:ascii="宋体" w:hAnsi="宋体" w:cs="宋体"/>
          <w:sz w:val="22"/>
          <w:szCs w:val="22"/>
        </w:rPr>
        <w:t>4.3.2.6  管理、处分企业年金基金财产所产生的债权债务，不得与乙方的固有财产及乙方管理的其他财产所产生的债权债务相抵销。</w:t>
      </w:r>
    </w:p>
    <w:p w14:paraId="785A836A">
      <w:pPr>
        <w:spacing w:line="360" w:lineRule="auto"/>
        <w:ind w:firstLine="440" w:firstLineChars="200"/>
        <w:rPr>
          <w:rFonts w:ascii="宋体" w:hAnsi="宋体" w:cs="宋体"/>
          <w:sz w:val="22"/>
          <w:szCs w:val="22"/>
        </w:rPr>
      </w:pPr>
      <w:r>
        <w:rPr>
          <w:rFonts w:hint="eastAsia" w:ascii="宋体" w:hAnsi="宋体" w:cs="宋体"/>
          <w:sz w:val="22"/>
          <w:szCs w:val="22"/>
        </w:rPr>
        <w:t>4.3.2.7  监督账户管理人、托管人以及投资管理人的行为，如发现账户管理人、托管人以及投资管理人违反本合同及法律法规，应当采取必要措施保护甲方及受益人的利益，并及时向甲方及人力资源社会保障行政部门报告。</w:t>
      </w:r>
    </w:p>
    <w:p w14:paraId="4858690D">
      <w:pPr>
        <w:spacing w:line="360" w:lineRule="auto"/>
        <w:ind w:firstLine="440" w:firstLineChars="200"/>
        <w:rPr>
          <w:rFonts w:ascii="宋体" w:hAnsi="宋体" w:cs="宋体"/>
          <w:sz w:val="22"/>
          <w:szCs w:val="22"/>
        </w:rPr>
      </w:pPr>
      <w:r>
        <w:rPr>
          <w:rFonts w:hint="eastAsia" w:ascii="宋体" w:hAnsi="宋体" w:cs="宋体"/>
          <w:sz w:val="22"/>
          <w:szCs w:val="22"/>
        </w:rPr>
        <w:t>4.3.2.8  按照法律法规规定，接受和配合人力资源社会保障行政部门的监管，积极履行相关备案和报告的义务。</w:t>
      </w:r>
    </w:p>
    <w:p w14:paraId="67796B1C">
      <w:pPr>
        <w:spacing w:line="360" w:lineRule="auto"/>
        <w:ind w:firstLine="440" w:firstLineChars="200"/>
        <w:rPr>
          <w:rFonts w:ascii="宋体" w:hAnsi="宋体" w:cs="宋体"/>
          <w:sz w:val="22"/>
          <w:szCs w:val="22"/>
        </w:rPr>
      </w:pPr>
      <w:r>
        <w:rPr>
          <w:rFonts w:hint="eastAsia" w:ascii="宋体" w:hAnsi="宋体" w:cs="宋体"/>
          <w:sz w:val="22"/>
          <w:szCs w:val="22"/>
        </w:rPr>
        <w:t>4.3.2.9  按照法律法规规定，聘请会计师事务所对企业年金计划进行审计。 企业年金计划终止时，组织清算组对企业年金基金财产进行清算。</w:t>
      </w:r>
    </w:p>
    <w:p w14:paraId="376C9557">
      <w:pPr>
        <w:spacing w:line="360" w:lineRule="auto"/>
        <w:ind w:firstLine="440" w:firstLineChars="200"/>
        <w:rPr>
          <w:rFonts w:ascii="宋体" w:hAnsi="宋体" w:cs="宋体"/>
          <w:sz w:val="22"/>
          <w:szCs w:val="22"/>
        </w:rPr>
      </w:pPr>
      <w:r>
        <w:rPr>
          <w:rFonts w:hint="eastAsia" w:ascii="宋体" w:hAnsi="宋体" w:cs="宋体"/>
          <w:sz w:val="22"/>
          <w:szCs w:val="22"/>
        </w:rPr>
        <w:t>4.3.2.10  乙方职责终止的，甲方选任新的受托人后，乙方应当与新的受托人及时妥善进行交接工作，乙方完成与新的受托人交接工作之前，应当继续履行受托人职责和义务，并按本合同约定收取相关费用。</w:t>
      </w:r>
    </w:p>
    <w:p w14:paraId="536FD46E">
      <w:pPr>
        <w:spacing w:line="360" w:lineRule="auto"/>
        <w:ind w:firstLine="440" w:firstLineChars="200"/>
        <w:rPr>
          <w:rFonts w:ascii="宋体" w:hAnsi="宋体" w:cs="宋体"/>
          <w:sz w:val="22"/>
          <w:szCs w:val="22"/>
        </w:rPr>
      </w:pPr>
      <w:r>
        <w:rPr>
          <w:rFonts w:hint="eastAsia" w:ascii="宋体" w:hAnsi="宋体" w:cs="宋体"/>
          <w:sz w:val="22"/>
          <w:szCs w:val="22"/>
        </w:rPr>
        <w:t>4.3.2.11  完整保存与本合同有关的企业年金基金管理记录，包括各类纸质和电子文件，保存期限为在本合同终止后至少15年，并要求其他管理人完整保存相关资料。</w:t>
      </w:r>
    </w:p>
    <w:p w14:paraId="22321B7A">
      <w:pPr>
        <w:spacing w:line="360" w:lineRule="auto"/>
        <w:ind w:firstLine="440" w:firstLineChars="200"/>
        <w:rPr>
          <w:rFonts w:ascii="宋体" w:hAnsi="宋体" w:cs="宋体"/>
          <w:sz w:val="22"/>
          <w:szCs w:val="22"/>
        </w:rPr>
      </w:pPr>
      <w:r>
        <w:rPr>
          <w:rFonts w:hint="eastAsia" w:ascii="宋体" w:hAnsi="宋体" w:cs="宋体"/>
          <w:sz w:val="22"/>
          <w:szCs w:val="22"/>
        </w:rPr>
        <w:t>4.3.2.12  履行法律法规规定及本合同约定的其他义务。</w:t>
      </w:r>
    </w:p>
    <w:p w14:paraId="6106C29D">
      <w:pPr>
        <w:spacing w:line="360" w:lineRule="auto"/>
        <w:ind w:firstLine="440" w:firstLineChars="200"/>
        <w:rPr>
          <w:rFonts w:ascii="宋体" w:hAnsi="宋体" w:cs="宋体"/>
          <w:sz w:val="22"/>
          <w:szCs w:val="22"/>
        </w:rPr>
      </w:pPr>
      <w:bookmarkStart w:id="41" w:name="_Toc19690"/>
      <w:r>
        <w:rPr>
          <w:rFonts w:hint="eastAsia" w:ascii="宋体" w:hAnsi="宋体" w:cs="宋体"/>
          <w:sz w:val="22"/>
          <w:szCs w:val="22"/>
        </w:rPr>
        <w:t>4.4  受益人权利和义务。</w:t>
      </w:r>
      <w:bookmarkEnd w:id="41"/>
    </w:p>
    <w:p w14:paraId="7ADCC614">
      <w:pPr>
        <w:spacing w:line="360" w:lineRule="auto"/>
        <w:ind w:firstLine="440" w:firstLineChars="200"/>
        <w:rPr>
          <w:rFonts w:ascii="宋体" w:hAnsi="宋体" w:cs="宋体"/>
          <w:sz w:val="22"/>
          <w:szCs w:val="22"/>
        </w:rPr>
      </w:pPr>
      <w:r>
        <w:rPr>
          <w:rFonts w:hint="eastAsia" w:ascii="宋体" w:hAnsi="宋体" w:cs="宋体"/>
          <w:sz w:val="22"/>
          <w:szCs w:val="22"/>
        </w:rPr>
        <w:t>4.4.1  受益人权利。</w:t>
      </w:r>
    </w:p>
    <w:p w14:paraId="3FF2CC04">
      <w:pPr>
        <w:spacing w:line="360" w:lineRule="auto"/>
        <w:ind w:firstLine="440" w:firstLineChars="200"/>
        <w:rPr>
          <w:rFonts w:ascii="宋体" w:hAnsi="宋体" w:cs="宋体"/>
          <w:sz w:val="22"/>
          <w:szCs w:val="22"/>
        </w:rPr>
      </w:pPr>
      <w:r>
        <w:rPr>
          <w:rFonts w:hint="eastAsia" w:ascii="宋体" w:hAnsi="宋体" w:cs="宋体"/>
          <w:sz w:val="22"/>
          <w:szCs w:val="22"/>
        </w:rPr>
        <w:t>4.4.1.1  按照企业年金方案约定的个人账户权益归属规则享有归属权益。</w:t>
      </w:r>
    </w:p>
    <w:p w14:paraId="16CA2B9F">
      <w:pPr>
        <w:spacing w:line="360" w:lineRule="auto"/>
        <w:ind w:firstLine="440" w:firstLineChars="200"/>
        <w:rPr>
          <w:rFonts w:ascii="宋体" w:hAnsi="宋体" w:cs="宋体"/>
          <w:sz w:val="22"/>
          <w:szCs w:val="22"/>
        </w:rPr>
      </w:pPr>
      <w:r>
        <w:rPr>
          <w:rFonts w:hint="eastAsia" w:ascii="宋体" w:hAnsi="宋体" w:cs="宋体"/>
          <w:sz w:val="22"/>
          <w:szCs w:val="22"/>
        </w:rPr>
        <w:t>4.4.1.2  根据法律法规规定及本合同约定，了解、查询企业年金基金个人账户基本情况。</w:t>
      </w:r>
    </w:p>
    <w:p w14:paraId="61D10DE9">
      <w:pPr>
        <w:spacing w:line="360" w:lineRule="auto"/>
        <w:ind w:firstLine="440" w:firstLineChars="200"/>
        <w:rPr>
          <w:rFonts w:ascii="宋体" w:hAnsi="宋体" w:cs="宋体"/>
          <w:sz w:val="22"/>
          <w:szCs w:val="22"/>
        </w:rPr>
      </w:pPr>
      <w:r>
        <w:rPr>
          <w:rFonts w:hint="eastAsia" w:ascii="宋体" w:hAnsi="宋体" w:cs="宋体"/>
          <w:sz w:val="22"/>
          <w:szCs w:val="22"/>
        </w:rPr>
        <w:t>4.4.1.3  根据法律法规规定及本合同约定，申请领取企业年金待遇。</w:t>
      </w:r>
    </w:p>
    <w:p w14:paraId="6C2BD5EA">
      <w:pPr>
        <w:spacing w:line="360" w:lineRule="auto"/>
        <w:ind w:firstLine="440" w:firstLineChars="200"/>
        <w:rPr>
          <w:rFonts w:ascii="宋体" w:hAnsi="宋体" w:cs="宋体"/>
          <w:sz w:val="22"/>
          <w:szCs w:val="22"/>
        </w:rPr>
      </w:pPr>
      <w:r>
        <w:rPr>
          <w:rFonts w:hint="eastAsia" w:ascii="宋体" w:hAnsi="宋体" w:cs="宋体"/>
          <w:sz w:val="22"/>
          <w:szCs w:val="22"/>
        </w:rPr>
        <w:t>4.4.1.4  受益人离职的，如新工作单位已经建立企业年金计划的，个人账户权益转至新的企业年金计划；如新工作单位尚未建立企业年金计划的，个人账户权益可在企业年金计划下建立保留账户管理，或转至乙方发起设立的企业年金集合计划下的保留账户进行管理。</w:t>
      </w:r>
    </w:p>
    <w:p w14:paraId="11C5BA8B">
      <w:pPr>
        <w:spacing w:line="360" w:lineRule="auto"/>
        <w:ind w:firstLine="440" w:firstLineChars="200"/>
        <w:rPr>
          <w:rFonts w:ascii="宋体" w:hAnsi="宋体" w:cs="宋体"/>
          <w:sz w:val="22"/>
          <w:szCs w:val="22"/>
        </w:rPr>
      </w:pPr>
      <w:r>
        <w:rPr>
          <w:rFonts w:hint="eastAsia" w:ascii="宋体" w:hAnsi="宋体" w:cs="宋体"/>
          <w:sz w:val="22"/>
          <w:szCs w:val="22"/>
        </w:rPr>
        <w:t>4.4.1.5  如受益人身故，由其指定的身故受益人或其法定继承人一次性领取个人账户权益，法定继承人的认定以有权机关出具的司法文书为准。对法定继承人未经认定但要求支付企业年金待遇的，乙方有权拒绝执行。</w:t>
      </w:r>
    </w:p>
    <w:p w14:paraId="2F4F9457">
      <w:pPr>
        <w:spacing w:line="360" w:lineRule="auto"/>
        <w:ind w:firstLine="440" w:firstLineChars="200"/>
        <w:rPr>
          <w:rFonts w:ascii="宋体" w:hAnsi="宋体" w:cs="宋体"/>
          <w:sz w:val="22"/>
          <w:szCs w:val="22"/>
        </w:rPr>
      </w:pPr>
      <w:r>
        <w:rPr>
          <w:rFonts w:hint="eastAsia" w:ascii="宋体" w:hAnsi="宋体" w:cs="宋体"/>
          <w:sz w:val="22"/>
          <w:szCs w:val="22"/>
        </w:rPr>
        <w:t>4.4.1.6  行使法律法规规定及本合同约定的其他权利。</w:t>
      </w:r>
    </w:p>
    <w:p w14:paraId="00E2CE13">
      <w:pPr>
        <w:spacing w:line="360" w:lineRule="auto"/>
        <w:ind w:firstLine="440" w:firstLineChars="200"/>
        <w:rPr>
          <w:rFonts w:ascii="宋体" w:hAnsi="宋体" w:cs="宋体"/>
          <w:sz w:val="22"/>
          <w:szCs w:val="22"/>
        </w:rPr>
      </w:pPr>
      <w:r>
        <w:rPr>
          <w:rFonts w:hint="eastAsia" w:ascii="宋体" w:hAnsi="宋体" w:cs="宋体"/>
          <w:sz w:val="22"/>
          <w:szCs w:val="22"/>
        </w:rPr>
        <w:t>4.4.2  受益人义务。</w:t>
      </w:r>
    </w:p>
    <w:p w14:paraId="696AE896">
      <w:pPr>
        <w:spacing w:line="360" w:lineRule="auto"/>
        <w:ind w:firstLine="440" w:firstLineChars="200"/>
        <w:rPr>
          <w:rFonts w:ascii="宋体" w:hAnsi="宋体" w:cs="宋体"/>
          <w:sz w:val="22"/>
          <w:szCs w:val="22"/>
        </w:rPr>
      </w:pPr>
      <w:r>
        <w:rPr>
          <w:rFonts w:hint="eastAsia" w:ascii="宋体" w:hAnsi="宋体" w:cs="宋体"/>
          <w:sz w:val="22"/>
          <w:szCs w:val="22"/>
        </w:rPr>
        <w:t>4.4.2.1  按企业年金方案规定和本合同约定进行缴费。</w:t>
      </w:r>
    </w:p>
    <w:p w14:paraId="5078B37D">
      <w:pPr>
        <w:spacing w:line="360" w:lineRule="auto"/>
        <w:ind w:firstLine="440" w:firstLineChars="200"/>
        <w:rPr>
          <w:rFonts w:ascii="宋体" w:hAnsi="宋体" w:cs="宋体"/>
          <w:sz w:val="22"/>
          <w:szCs w:val="22"/>
        </w:rPr>
      </w:pPr>
      <w:r>
        <w:rPr>
          <w:rFonts w:hint="eastAsia" w:ascii="宋体" w:hAnsi="宋体" w:cs="宋体"/>
          <w:sz w:val="22"/>
          <w:szCs w:val="22"/>
        </w:rPr>
        <w:t>4.4.2.2  不得转让企业年金基金受益权，不得将企业年金基金受益权用于偿还债务或担保。</w:t>
      </w:r>
    </w:p>
    <w:p w14:paraId="1884EE68">
      <w:pPr>
        <w:spacing w:line="360" w:lineRule="auto"/>
        <w:ind w:firstLine="440" w:firstLineChars="200"/>
        <w:rPr>
          <w:rFonts w:ascii="宋体" w:hAnsi="宋体" w:cs="宋体"/>
          <w:sz w:val="22"/>
          <w:szCs w:val="22"/>
        </w:rPr>
      </w:pPr>
      <w:r>
        <w:rPr>
          <w:rFonts w:hint="eastAsia" w:ascii="宋体" w:hAnsi="宋体" w:cs="宋体"/>
          <w:sz w:val="22"/>
          <w:szCs w:val="22"/>
        </w:rPr>
        <w:t>4.4.2.3  提供企业年金基金管理运作所需的相关资料和信息。</w:t>
      </w:r>
    </w:p>
    <w:p w14:paraId="76F776AD">
      <w:pPr>
        <w:spacing w:line="360" w:lineRule="auto"/>
        <w:ind w:firstLine="440" w:firstLineChars="200"/>
        <w:rPr>
          <w:rFonts w:ascii="宋体" w:hAnsi="宋体" w:cs="宋体"/>
          <w:sz w:val="22"/>
          <w:szCs w:val="22"/>
        </w:rPr>
      </w:pPr>
      <w:r>
        <w:rPr>
          <w:rFonts w:hint="eastAsia" w:ascii="宋体" w:hAnsi="宋体" w:cs="宋体"/>
          <w:sz w:val="22"/>
          <w:szCs w:val="22"/>
        </w:rPr>
        <w:t>4.4.2.4  按照本合同约定承担保留账户和退休账户的账户管理费。</w:t>
      </w:r>
    </w:p>
    <w:p w14:paraId="740801A5">
      <w:pPr>
        <w:spacing w:line="360" w:lineRule="auto"/>
        <w:ind w:firstLine="440" w:firstLineChars="200"/>
        <w:rPr>
          <w:rFonts w:ascii="宋体" w:hAnsi="宋体" w:cs="宋体"/>
          <w:sz w:val="22"/>
          <w:szCs w:val="22"/>
        </w:rPr>
      </w:pPr>
      <w:r>
        <w:rPr>
          <w:rFonts w:hint="eastAsia" w:ascii="宋体" w:hAnsi="宋体" w:cs="宋体"/>
          <w:sz w:val="22"/>
          <w:szCs w:val="22"/>
        </w:rPr>
        <w:t>4.4.2.5  当受益人离职且新工作单位没有建立企业年金计划，甲方要求受益人的个人账户权益转移至乙方发起设立的企业年金集合计划下的保留账户管理的，受益人应当同意并履行相关手续。</w:t>
      </w:r>
    </w:p>
    <w:p w14:paraId="44AF88AF">
      <w:pPr>
        <w:spacing w:line="360" w:lineRule="auto"/>
        <w:ind w:firstLine="440" w:firstLineChars="200"/>
        <w:rPr>
          <w:rFonts w:ascii="宋体" w:hAnsi="宋体" w:cs="宋体"/>
          <w:sz w:val="22"/>
          <w:szCs w:val="22"/>
        </w:rPr>
      </w:pPr>
      <w:r>
        <w:rPr>
          <w:rFonts w:hint="eastAsia" w:ascii="宋体" w:hAnsi="宋体" w:cs="宋体"/>
          <w:sz w:val="22"/>
          <w:szCs w:val="22"/>
        </w:rPr>
        <w:t>4.4.2.6  履行法律法规规定及本合同约定的其他义务。</w:t>
      </w:r>
    </w:p>
    <w:p w14:paraId="644E662E">
      <w:pPr>
        <w:spacing w:line="360" w:lineRule="auto"/>
        <w:jc w:val="center"/>
        <w:rPr>
          <w:rFonts w:ascii="宋体" w:hAnsi="宋体" w:cs="宋体"/>
          <w:sz w:val="22"/>
          <w:szCs w:val="22"/>
        </w:rPr>
      </w:pPr>
      <w:bookmarkStart w:id="42" w:name="_Toc24164"/>
      <w:bookmarkStart w:id="43" w:name="_Toc319932543"/>
      <w:bookmarkStart w:id="44" w:name="_Toc311040985"/>
      <w:bookmarkStart w:id="45" w:name="_Toc196484073"/>
      <w:r>
        <w:rPr>
          <w:rFonts w:hint="eastAsia" w:ascii="宋体" w:hAnsi="宋体" w:cs="宋体"/>
          <w:sz w:val="22"/>
          <w:szCs w:val="22"/>
        </w:rPr>
        <w:t>第五章　企业年金基金的管理</w:t>
      </w:r>
      <w:bookmarkEnd w:id="42"/>
      <w:bookmarkEnd w:id="43"/>
    </w:p>
    <w:p w14:paraId="19CA249E">
      <w:pPr>
        <w:spacing w:line="360" w:lineRule="auto"/>
        <w:ind w:firstLine="440" w:firstLineChars="200"/>
        <w:rPr>
          <w:rFonts w:ascii="宋体" w:hAnsi="宋体" w:cs="宋体"/>
          <w:sz w:val="22"/>
          <w:szCs w:val="22"/>
        </w:rPr>
      </w:pPr>
      <w:bookmarkStart w:id="46" w:name="_Toc31428"/>
      <w:r>
        <w:rPr>
          <w:rFonts w:hint="eastAsia" w:ascii="宋体" w:hAnsi="宋体" w:cs="宋体"/>
          <w:sz w:val="22"/>
          <w:szCs w:val="22"/>
        </w:rPr>
        <w:t>5.1  受托人的管理职责。</w:t>
      </w:r>
      <w:bookmarkEnd w:id="46"/>
    </w:p>
    <w:p w14:paraId="68BC1E75">
      <w:pPr>
        <w:spacing w:line="360" w:lineRule="auto"/>
        <w:ind w:firstLine="440" w:firstLineChars="200"/>
        <w:rPr>
          <w:rFonts w:ascii="宋体" w:hAnsi="宋体" w:cs="宋体"/>
          <w:sz w:val="22"/>
          <w:szCs w:val="22"/>
        </w:rPr>
      </w:pPr>
      <w:r>
        <w:rPr>
          <w:rFonts w:hint="eastAsia" w:ascii="宋体" w:hAnsi="宋体" w:cs="宋体"/>
          <w:sz w:val="22"/>
          <w:szCs w:val="22"/>
        </w:rPr>
        <w:t>5.1.1  按照法律法规规定及本合同约定监督企业年金基金管理，督促账户管理人、托管人及投资管理人诚实、信用、勤勉、尽责地履行企业年金基金管理职责。</w:t>
      </w:r>
    </w:p>
    <w:p w14:paraId="3E93B962">
      <w:pPr>
        <w:spacing w:line="360" w:lineRule="auto"/>
        <w:ind w:firstLine="440" w:firstLineChars="200"/>
        <w:rPr>
          <w:rFonts w:ascii="宋体" w:hAnsi="宋体" w:cs="宋体"/>
          <w:sz w:val="22"/>
          <w:szCs w:val="22"/>
        </w:rPr>
      </w:pPr>
      <w:r>
        <w:rPr>
          <w:rFonts w:hint="eastAsia" w:ascii="宋体" w:hAnsi="宋体" w:cs="宋体"/>
          <w:sz w:val="22"/>
          <w:szCs w:val="22"/>
        </w:rPr>
        <w:t>5.1.2  制定企业年金基金资产配置策略，遵循高度安全、稳健收益原则，采取分散风险和专业化管理的方式，实现企业年金保值增值。</w:t>
      </w:r>
    </w:p>
    <w:p w14:paraId="7C2EA6D3">
      <w:pPr>
        <w:spacing w:line="360" w:lineRule="auto"/>
        <w:ind w:firstLine="440" w:firstLineChars="200"/>
        <w:rPr>
          <w:rFonts w:ascii="宋体" w:hAnsi="宋体" w:cs="宋体"/>
          <w:sz w:val="22"/>
          <w:szCs w:val="22"/>
        </w:rPr>
      </w:pPr>
      <w:r>
        <w:rPr>
          <w:rFonts w:hint="eastAsia" w:ascii="宋体" w:hAnsi="宋体" w:cs="宋体"/>
          <w:sz w:val="22"/>
          <w:szCs w:val="22"/>
        </w:rPr>
        <w:t>5.1.3  与托管人、投资管理人协商确定投资监督事项表，督促托管人按照投资监督事项表监督投资管理人的运作。</w:t>
      </w:r>
    </w:p>
    <w:p w14:paraId="2F876974">
      <w:pPr>
        <w:spacing w:line="360" w:lineRule="auto"/>
        <w:ind w:firstLine="440" w:firstLineChars="200"/>
        <w:rPr>
          <w:rFonts w:ascii="宋体" w:hAnsi="宋体" w:cs="宋体"/>
          <w:sz w:val="22"/>
          <w:szCs w:val="22"/>
        </w:rPr>
      </w:pPr>
      <w:r>
        <w:rPr>
          <w:rFonts w:hint="eastAsia" w:ascii="宋体" w:hAnsi="宋体" w:cs="宋体"/>
          <w:sz w:val="22"/>
          <w:szCs w:val="22"/>
        </w:rPr>
        <w:t>5.1.4  依据企业年金方案和本合同的约定审核企业缴费、职工缴费和企业年金待遇支付，及时收取企业和职工缴费，及时、足额向受益人支付企业年金待遇。</w:t>
      </w:r>
    </w:p>
    <w:p w14:paraId="6B682A3D">
      <w:pPr>
        <w:spacing w:line="360" w:lineRule="auto"/>
        <w:ind w:firstLine="440" w:firstLineChars="200"/>
        <w:rPr>
          <w:rFonts w:ascii="宋体" w:hAnsi="宋体" w:cs="宋体"/>
          <w:sz w:val="22"/>
          <w:szCs w:val="22"/>
        </w:rPr>
      </w:pPr>
      <w:r>
        <w:rPr>
          <w:rFonts w:hint="eastAsia" w:ascii="宋体" w:hAnsi="宋体" w:cs="宋体"/>
          <w:sz w:val="22"/>
          <w:szCs w:val="22"/>
        </w:rPr>
        <w:t>5.1.5  要求账户管理人向委托人和受益人提供企业年金基金查询服务。</w:t>
      </w:r>
    </w:p>
    <w:p w14:paraId="2683D438">
      <w:pPr>
        <w:spacing w:line="360" w:lineRule="auto"/>
        <w:ind w:firstLine="440" w:firstLineChars="200"/>
        <w:rPr>
          <w:rFonts w:ascii="宋体" w:hAnsi="宋体" w:cs="宋体"/>
          <w:sz w:val="22"/>
          <w:szCs w:val="22"/>
        </w:rPr>
      </w:pPr>
      <w:r>
        <w:rPr>
          <w:rFonts w:hint="eastAsia" w:ascii="宋体" w:hAnsi="宋体" w:cs="宋体"/>
          <w:sz w:val="22"/>
          <w:szCs w:val="22"/>
        </w:rPr>
        <w:t>5.1.6  发生重大事项时，及时向委托人和有关监管部门报告。</w:t>
      </w:r>
    </w:p>
    <w:p w14:paraId="6D2D9C60">
      <w:pPr>
        <w:spacing w:line="360" w:lineRule="auto"/>
        <w:ind w:firstLine="440" w:firstLineChars="200"/>
        <w:rPr>
          <w:rFonts w:ascii="宋体" w:hAnsi="宋体" w:cs="宋体"/>
          <w:sz w:val="22"/>
          <w:szCs w:val="22"/>
        </w:rPr>
      </w:pPr>
      <w:r>
        <w:rPr>
          <w:rFonts w:hint="eastAsia" w:ascii="宋体" w:hAnsi="宋体" w:cs="宋体"/>
          <w:sz w:val="22"/>
          <w:szCs w:val="22"/>
        </w:rPr>
        <w:t>5.1.7  受托人选择的账户管理人、托管人及投资管理人未诚实、信用、勤勉、尽责地履行企业年金基金管理职责，由此给企业年金基金财产造成损失的，由账户管理人、托管人及投资管理人负责赔偿相关损失，受托人依法承担相关法律责任。</w:t>
      </w:r>
    </w:p>
    <w:p w14:paraId="521AA0B4">
      <w:pPr>
        <w:spacing w:line="360" w:lineRule="auto"/>
        <w:ind w:firstLine="440" w:firstLineChars="200"/>
        <w:rPr>
          <w:rFonts w:ascii="宋体" w:hAnsi="宋体" w:cs="宋体"/>
          <w:sz w:val="22"/>
          <w:szCs w:val="22"/>
        </w:rPr>
      </w:pPr>
      <w:r>
        <w:rPr>
          <w:rFonts w:hint="eastAsia" w:ascii="宋体" w:hAnsi="宋体" w:cs="宋体"/>
          <w:sz w:val="22"/>
          <w:szCs w:val="22"/>
        </w:rPr>
        <w:t>5.1.8  按照法律法规规定及本合同约定，及时向委托人和有关监管部门提供企业年金基金管理报告，并提供相关查询内容，对报告内容的真实性、完整性、准确性负责。</w:t>
      </w:r>
    </w:p>
    <w:p w14:paraId="2963CDC8">
      <w:pPr>
        <w:spacing w:line="360" w:lineRule="auto"/>
        <w:ind w:left="559" w:leftChars="266"/>
        <w:rPr>
          <w:rFonts w:ascii="宋体" w:hAnsi="宋体" w:cs="宋体"/>
          <w:sz w:val="22"/>
          <w:szCs w:val="22"/>
        </w:rPr>
      </w:pPr>
      <w:r>
        <w:rPr>
          <w:rFonts w:hint="eastAsia" w:ascii="宋体" w:hAnsi="宋体" w:cs="宋体"/>
          <w:sz w:val="22"/>
          <w:szCs w:val="22"/>
        </w:rPr>
        <w:t>5.1.9  承担法律法规规定及本合同约定的其他职责。</w:t>
      </w:r>
      <w:r>
        <w:rPr>
          <w:rFonts w:hint="eastAsia" w:ascii="宋体" w:hAnsi="宋体" w:cs="宋体"/>
          <w:sz w:val="22"/>
          <w:szCs w:val="22"/>
        </w:rPr>
        <w:cr/>
      </w:r>
      <w:r>
        <w:rPr>
          <w:rFonts w:hint="eastAsia" w:ascii="宋体" w:hAnsi="宋体" w:cs="宋体"/>
          <w:sz w:val="22"/>
          <w:szCs w:val="22"/>
        </w:rPr>
        <w:t>5.2  账户管理人的管理职责</w:t>
      </w:r>
      <w:bookmarkEnd w:id="44"/>
      <w:bookmarkEnd w:id="45"/>
      <w:r>
        <w:rPr>
          <w:rFonts w:hint="eastAsia" w:ascii="宋体" w:hAnsi="宋体" w:cs="宋体"/>
          <w:sz w:val="22"/>
          <w:szCs w:val="22"/>
        </w:rPr>
        <w:t>。</w:t>
      </w:r>
    </w:p>
    <w:p w14:paraId="3C14B319">
      <w:pPr>
        <w:spacing w:line="360" w:lineRule="auto"/>
        <w:ind w:firstLine="440" w:firstLineChars="200"/>
        <w:rPr>
          <w:rFonts w:ascii="宋体" w:hAnsi="宋体" w:cs="宋体"/>
          <w:sz w:val="22"/>
          <w:szCs w:val="22"/>
        </w:rPr>
      </w:pPr>
      <w:r>
        <w:rPr>
          <w:rFonts w:hint="eastAsia" w:ascii="宋体" w:hAnsi="宋体" w:cs="宋体"/>
          <w:sz w:val="22"/>
          <w:szCs w:val="22"/>
        </w:rPr>
        <w:t>5.2.1  受托人如委托具备账户管理人资格的企业年金账户管理机构负责企业年金基金账户管理事务，</w:t>
      </w:r>
      <w:r>
        <w:rPr>
          <w:rFonts w:hint="eastAsia" w:ascii="宋体" w:hAnsi="宋体" w:cs="宋体"/>
          <w:bCs/>
          <w:sz w:val="22"/>
          <w:szCs w:val="22"/>
        </w:rPr>
        <w:t>应当签订账户管理合同。</w:t>
      </w:r>
      <w:r>
        <w:rPr>
          <w:rFonts w:hint="eastAsia" w:ascii="宋体" w:hAnsi="宋体" w:cs="宋体"/>
          <w:sz w:val="22"/>
          <w:szCs w:val="22"/>
        </w:rPr>
        <w:t>账户管理人违反法律法规规定及本合同约定，并由此给企业年金基金财产造成损失的，账户管理人应当依法承担相关法律责任。</w:t>
      </w:r>
    </w:p>
    <w:p w14:paraId="2C9A6918">
      <w:pPr>
        <w:spacing w:line="360" w:lineRule="auto"/>
        <w:ind w:firstLine="440" w:firstLineChars="200"/>
        <w:rPr>
          <w:rFonts w:ascii="宋体" w:hAnsi="宋体" w:cs="宋体"/>
          <w:sz w:val="22"/>
          <w:szCs w:val="22"/>
        </w:rPr>
      </w:pPr>
      <w:r>
        <w:rPr>
          <w:rFonts w:hint="eastAsia" w:ascii="宋体" w:hAnsi="宋体" w:cs="宋体"/>
          <w:sz w:val="22"/>
          <w:szCs w:val="22"/>
        </w:rPr>
        <w:t xml:space="preserve">5.2.2  账户管理人承担的账户管理职责包括： </w:t>
      </w:r>
    </w:p>
    <w:p w14:paraId="107EDCFA">
      <w:pPr>
        <w:spacing w:line="360" w:lineRule="auto"/>
        <w:ind w:firstLine="440" w:firstLineChars="200"/>
        <w:rPr>
          <w:rFonts w:ascii="宋体" w:hAnsi="宋体" w:cs="宋体"/>
          <w:sz w:val="22"/>
          <w:szCs w:val="22"/>
        </w:rPr>
      </w:pPr>
      <w:r>
        <w:rPr>
          <w:rFonts w:hint="eastAsia" w:ascii="宋体" w:hAnsi="宋体" w:cs="宋体"/>
          <w:sz w:val="22"/>
          <w:szCs w:val="22"/>
        </w:rPr>
        <w:t>5.2.2.1  建立企业年金基金的企业账户和个人账户；</w:t>
      </w:r>
    </w:p>
    <w:p w14:paraId="116D85F2">
      <w:pPr>
        <w:spacing w:line="360" w:lineRule="auto"/>
        <w:ind w:firstLine="440" w:firstLineChars="200"/>
        <w:rPr>
          <w:rFonts w:ascii="宋体" w:hAnsi="宋体" w:cs="宋体"/>
          <w:sz w:val="22"/>
          <w:szCs w:val="22"/>
        </w:rPr>
      </w:pPr>
      <w:r>
        <w:rPr>
          <w:rFonts w:hint="eastAsia" w:ascii="宋体" w:hAnsi="宋体" w:cs="宋体"/>
          <w:sz w:val="22"/>
          <w:szCs w:val="22"/>
        </w:rPr>
        <w:t>5.2.2.2  记录企业、职工缴费基本信息，记录企业年金基金投资收益，记录企业年金基金企业账户与个人账户信息及财产变化状况，计算应领取的企业年金待遇；</w:t>
      </w:r>
    </w:p>
    <w:p w14:paraId="7F3C0EDD">
      <w:pPr>
        <w:spacing w:line="360" w:lineRule="auto"/>
        <w:ind w:firstLine="440" w:firstLineChars="200"/>
        <w:rPr>
          <w:rFonts w:ascii="宋体" w:hAnsi="宋体" w:cs="宋体"/>
          <w:sz w:val="22"/>
          <w:szCs w:val="22"/>
        </w:rPr>
      </w:pPr>
      <w:r>
        <w:rPr>
          <w:rFonts w:hint="eastAsia" w:ascii="宋体" w:hAnsi="宋体" w:cs="宋体"/>
          <w:sz w:val="22"/>
          <w:szCs w:val="22"/>
        </w:rPr>
        <w:t>5.2.2.3  定期向受托人提交账户管理数据等信息以及企业年金基金账户管理报告，定期向有关监管部门提交开展企业年金基金账户管理业务情况报告；</w:t>
      </w:r>
    </w:p>
    <w:p w14:paraId="0EEA7CF5">
      <w:pPr>
        <w:spacing w:line="360" w:lineRule="auto"/>
        <w:ind w:firstLine="440" w:firstLineChars="200"/>
        <w:rPr>
          <w:rFonts w:ascii="宋体" w:hAnsi="宋体" w:cs="宋体"/>
          <w:sz w:val="22"/>
          <w:szCs w:val="22"/>
        </w:rPr>
      </w:pPr>
      <w:r>
        <w:rPr>
          <w:rFonts w:hint="eastAsia" w:ascii="宋体" w:hAnsi="宋体" w:cs="宋体"/>
          <w:sz w:val="22"/>
          <w:szCs w:val="22"/>
        </w:rPr>
        <w:t>5.2.2.4  向委托人及受益人提供企业年金基金企业账户和个人账户信息查询服务，并向受益人提供年度权益报告；</w:t>
      </w:r>
    </w:p>
    <w:p w14:paraId="0B9BF95C">
      <w:pPr>
        <w:spacing w:line="360" w:lineRule="auto"/>
        <w:ind w:firstLine="440" w:firstLineChars="200"/>
        <w:rPr>
          <w:rFonts w:ascii="宋体" w:hAnsi="宋体" w:cs="宋体"/>
          <w:sz w:val="22"/>
          <w:szCs w:val="22"/>
        </w:rPr>
      </w:pPr>
      <w:r>
        <w:rPr>
          <w:rFonts w:hint="eastAsia" w:ascii="宋体" w:hAnsi="宋体" w:cs="宋体"/>
          <w:sz w:val="22"/>
          <w:szCs w:val="22"/>
        </w:rPr>
        <w:t>5.2.2.5  及时与托管人核对缴费数据以及企业年金基金账户财产变化状况，及时将核对结果提交受托人；</w:t>
      </w:r>
    </w:p>
    <w:p w14:paraId="419DDF83">
      <w:pPr>
        <w:spacing w:line="360" w:lineRule="auto"/>
        <w:ind w:firstLine="440" w:firstLineChars="200"/>
        <w:rPr>
          <w:rFonts w:ascii="宋体" w:hAnsi="宋体" w:cs="宋体"/>
          <w:sz w:val="22"/>
          <w:szCs w:val="22"/>
        </w:rPr>
      </w:pPr>
      <w:r>
        <w:rPr>
          <w:rFonts w:hint="eastAsia" w:ascii="宋体" w:hAnsi="宋体" w:cs="宋体"/>
          <w:sz w:val="22"/>
          <w:szCs w:val="22"/>
        </w:rPr>
        <w:t>5.2.2.6  按照国家规定保存企业年金基金账户管理档案自账户管理合同终止之日起至少15年；</w:t>
      </w:r>
    </w:p>
    <w:p w14:paraId="52653E23">
      <w:pPr>
        <w:spacing w:line="360" w:lineRule="auto"/>
        <w:ind w:firstLine="440" w:firstLineChars="200"/>
        <w:rPr>
          <w:rFonts w:ascii="宋体" w:hAnsi="宋体" w:cs="宋体"/>
          <w:sz w:val="22"/>
          <w:szCs w:val="22"/>
        </w:rPr>
      </w:pPr>
      <w:r>
        <w:rPr>
          <w:rFonts w:hint="eastAsia" w:ascii="宋体" w:hAnsi="宋体" w:cs="宋体"/>
          <w:sz w:val="22"/>
          <w:szCs w:val="22"/>
        </w:rPr>
        <w:t>5.2.2.7  承担法律法规规定及账户管理合同约定的其他职责。</w:t>
      </w:r>
    </w:p>
    <w:p w14:paraId="731009DD">
      <w:pPr>
        <w:spacing w:line="360" w:lineRule="auto"/>
        <w:ind w:firstLine="440" w:firstLineChars="200"/>
        <w:rPr>
          <w:rFonts w:ascii="宋体" w:hAnsi="宋体" w:cs="宋体"/>
          <w:sz w:val="22"/>
          <w:szCs w:val="22"/>
        </w:rPr>
      </w:pPr>
      <w:r>
        <w:rPr>
          <w:rFonts w:hint="eastAsia" w:ascii="宋体" w:hAnsi="宋体" w:cs="宋体"/>
          <w:sz w:val="22"/>
          <w:szCs w:val="22"/>
        </w:rPr>
        <w:t>5.2.3  受托人如兼任企业年金计划的账户管理人，其承担的账户管理职责详见《&lt;</w:t>
      </w:r>
      <w:r>
        <w:rPr>
          <w:rFonts w:hint="eastAsia" w:ascii="宋体" w:hAnsi="宋体" w:cs="宋体"/>
          <w:sz w:val="22"/>
          <w:szCs w:val="22"/>
          <w:u w:val="single"/>
        </w:rPr>
        <w:t xml:space="preserve">    </w:t>
      </w:r>
      <w:r>
        <w:rPr>
          <w:rFonts w:hint="eastAsia" w:ascii="宋体" w:hAnsi="宋体" w:cs="宋体"/>
          <w:sz w:val="22"/>
          <w:szCs w:val="22"/>
        </w:rPr>
        <w:t>企业年金计划受托管理合同〉账户管理补充条款》。</w:t>
      </w:r>
    </w:p>
    <w:p w14:paraId="742C600A">
      <w:pPr>
        <w:spacing w:line="360" w:lineRule="auto"/>
        <w:ind w:firstLine="440" w:firstLineChars="200"/>
        <w:rPr>
          <w:rFonts w:ascii="宋体" w:hAnsi="宋体" w:cs="宋体"/>
          <w:sz w:val="22"/>
          <w:szCs w:val="22"/>
        </w:rPr>
      </w:pPr>
      <w:bookmarkStart w:id="47" w:name="_Toc17447"/>
      <w:r>
        <w:rPr>
          <w:rFonts w:hint="eastAsia" w:ascii="宋体" w:hAnsi="宋体" w:cs="宋体"/>
          <w:sz w:val="22"/>
          <w:szCs w:val="22"/>
        </w:rPr>
        <w:t>5.3  托管人的管理职责。</w:t>
      </w:r>
      <w:bookmarkEnd w:id="47"/>
    </w:p>
    <w:p w14:paraId="5ADC7B93">
      <w:pPr>
        <w:spacing w:line="360" w:lineRule="auto"/>
        <w:ind w:firstLine="440" w:firstLineChars="200"/>
        <w:rPr>
          <w:rFonts w:ascii="宋体" w:hAnsi="宋体" w:cs="宋体"/>
          <w:sz w:val="22"/>
          <w:szCs w:val="22"/>
        </w:rPr>
      </w:pPr>
      <w:r>
        <w:rPr>
          <w:rFonts w:hint="eastAsia" w:ascii="宋体" w:hAnsi="宋体" w:cs="宋体"/>
          <w:sz w:val="22"/>
          <w:szCs w:val="22"/>
        </w:rPr>
        <w:t>5.3.1  受托人应当委托具备托管人资格的商业银行负责企业年金基金托管事务，并签订托管合同。托管人违反法律法规规定及本合同约定，并由此给企业年金基金财产造成损失的，托管人应当依法承担相关法律责任。</w:t>
      </w:r>
    </w:p>
    <w:p w14:paraId="0135EC0F">
      <w:pPr>
        <w:spacing w:line="360" w:lineRule="auto"/>
        <w:ind w:firstLine="440" w:firstLineChars="200"/>
        <w:rPr>
          <w:rFonts w:ascii="宋体" w:hAnsi="宋体" w:cs="宋体"/>
          <w:sz w:val="22"/>
          <w:szCs w:val="22"/>
        </w:rPr>
      </w:pPr>
      <w:r>
        <w:rPr>
          <w:rFonts w:hint="eastAsia" w:ascii="宋体" w:hAnsi="宋体" w:cs="宋体"/>
          <w:sz w:val="22"/>
          <w:szCs w:val="22"/>
        </w:rPr>
        <w:t>5.3.2  托管人承担的托管职责包括：</w:t>
      </w:r>
    </w:p>
    <w:p w14:paraId="25E9BFC3">
      <w:pPr>
        <w:spacing w:line="360" w:lineRule="auto"/>
        <w:ind w:firstLine="440" w:firstLineChars="200"/>
        <w:rPr>
          <w:rFonts w:ascii="宋体" w:hAnsi="宋体" w:cs="宋体"/>
          <w:sz w:val="22"/>
          <w:szCs w:val="22"/>
        </w:rPr>
      </w:pPr>
      <w:r>
        <w:rPr>
          <w:rFonts w:hint="eastAsia" w:ascii="宋体" w:hAnsi="宋体" w:cs="宋体"/>
          <w:sz w:val="22"/>
          <w:szCs w:val="22"/>
        </w:rPr>
        <w:t>5.3.2.1  安全保管企业年金基金财产；</w:t>
      </w:r>
    </w:p>
    <w:p w14:paraId="7C3F7D0F">
      <w:pPr>
        <w:spacing w:line="360" w:lineRule="auto"/>
        <w:ind w:firstLine="440" w:firstLineChars="200"/>
        <w:rPr>
          <w:rFonts w:ascii="宋体" w:hAnsi="宋体" w:cs="宋体"/>
          <w:sz w:val="22"/>
          <w:szCs w:val="22"/>
        </w:rPr>
      </w:pPr>
      <w:r>
        <w:rPr>
          <w:rFonts w:hint="eastAsia" w:ascii="宋体" w:hAnsi="宋体" w:cs="宋体"/>
          <w:sz w:val="22"/>
          <w:szCs w:val="22"/>
        </w:rPr>
        <w:t>5.3.2.2  为企业年金基金财产开立资金账户及证券账户，用于企业年金基金的资金划拨及证券投资；</w:t>
      </w:r>
    </w:p>
    <w:p w14:paraId="386A37BC">
      <w:pPr>
        <w:spacing w:line="360" w:lineRule="auto"/>
        <w:ind w:firstLine="440" w:firstLineChars="200"/>
        <w:rPr>
          <w:rFonts w:ascii="宋体" w:hAnsi="宋体" w:cs="宋体"/>
          <w:sz w:val="22"/>
          <w:szCs w:val="22"/>
        </w:rPr>
      </w:pPr>
      <w:r>
        <w:rPr>
          <w:rFonts w:hint="eastAsia" w:ascii="宋体" w:hAnsi="宋体" w:cs="宋体"/>
          <w:sz w:val="22"/>
          <w:szCs w:val="22"/>
        </w:rPr>
        <w:t>5.3.2.3  根据受托人的指令，接受委托人的企业年金缴费，向投资管理人划拨企业年金基金财产，向受益人支付企业年金待遇；</w:t>
      </w:r>
    </w:p>
    <w:p w14:paraId="4F14E4C4">
      <w:pPr>
        <w:spacing w:line="360" w:lineRule="auto"/>
        <w:ind w:firstLine="440" w:firstLineChars="200"/>
        <w:rPr>
          <w:rFonts w:ascii="宋体" w:hAnsi="宋体" w:cs="宋体"/>
          <w:sz w:val="22"/>
          <w:szCs w:val="22"/>
        </w:rPr>
      </w:pPr>
      <w:r>
        <w:rPr>
          <w:rFonts w:hint="eastAsia" w:ascii="宋体" w:hAnsi="宋体" w:cs="宋体"/>
          <w:sz w:val="22"/>
          <w:szCs w:val="22"/>
        </w:rPr>
        <w:t>5.3.2.4  依据受托人对投资管理人的授权，根据投资管理人投资指令，及时办理清算、交割等事宜；</w:t>
      </w:r>
    </w:p>
    <w:p w14:paraId="785BF6CF">
      <w:pPr>
        <w:spacing w:line="360" w:lineRule="auto"/>
        <w:ind w:firstLine="440" w:firstLineChars="200"/>
        <w:rPr>
          <w:rFonts w:ascii="宋体" w:hAnsi="宋体" w:cs="宋体"/>
          <w:sz w:val="22"/>
          <w:szCs w:val="22"/>
        </w:rPr>
      </w:pPr>
      <w:r>
        <w:rPr>
          <w:rFonts w:hint="eastAsia" w:ascii="宋体" w:hAnsi="宋体" w:cs="宋体"/>
          <w:sz w:val="22"/>
          <w:szCs w:val="22"/>
        </w:rPr>
        <w:t>5.3.2.5  定期对企业年金基金财产进行会计核算和估值，监督投资管理人的投资运作；</w:t>
      </w:r>
    </w:p>
    <w:p w14:paraId="1A521B29">
      <w:pPr>
        <w:spacing w:line="360" w:lineRule="auto"/>
        <w:ind w:firstLine="440" w:firstLineChars="200"/>
        <w:rPr>
          <w:rFonts w:ascii="宋体" w:hAnsi="宋体" w:cs="宋体"/>
          <w:sz w:val="22"/>
          <w:szCs w:val="22"/>
        </w:rPr>
      </w:pPr>
      <w:r>
        <w:rPr>
          <w:rFonts w:hint="eastAsia" w:ascii="宋体" w:hAnsi="宋体" w:cs="宋体"/>
          <w:sz w:val="22"/>
          <w:szCs w:val="22"/>
        </w:rPr>
        <w:t>5.3.2.6  定期与账户管理人、投资管理人核对有关数据；</w:t>
      </w:r>
    </w:p>
    <w:p w14:paraId="4B22C388">
      <w:pPr>
        <w:spacing w:line="360" w:lineRule="auto"/>
        <w:ind w:firstLine="440" w:firstLineChars="200"/>
        <w:rPr>
          <w:rFonts w:ascii="宋体" w:hAnsi="宋体" w:cs="宋体"/>
          <w:sz w:val="22"/>
          <w:szCs w:val="22"/>
        </w:rPr>
      </w:pPr>
      <w:r>
        <w:rPr>
          <w:rFonts w:hint="eastAsia" w:ascii="宋体" w:hAnsi="宋体" w:cs="宋体"/>
          <w:sz w:val="22"/>
          <w:szCs w:val="22"/>
        </w:rPr>
        <w:t>5.3.2.7  配合投资管理人完成投资管理风险准备金的提取和使用；</w:t>
      </w:r>
    </w:p>
    <w:p w14:paraId="1FB74535">
      <w:pPr>
        <w:spacing w:line="360" w:lineRule="auto"/>
        <w:ind w:firstLine="440" w:firstLineChars="200"/>
        <w:rPr>
          <w:rFonts w:ascii="宋体" w:hAnsi="宋体" w:cs="宋体"/>
          <w:sz w:val="22"/>
          <w:szCs w:val="22"/>
        </w:rPr>
      </w:pPr>
      <w:r>
        <w:rPr>
          <w:rFonts w:hint="eastAsia" w:ascii="宋体" w:hAnsi="宋体" w:cs="宋体"/>
          <w:sz w:val="22"/>
          <w:szCs w:val="22"/>
        </w:rPr>
        <w:t>5.3.2.8  按照规定监督投资管理人的投资运作，并定期向受托人报告投资监督情况；</w:t>
      </w:r>
    </w:p>
    <w:p w14:paraId="322B58BA">
      <w:pPr>
        <w:spacing w:line="360" w:lineRule="auto"/>
        <w:ind w:firstLine="440" w:firstLineChars="200"/>
        <w:rPr>
          <w:rFonts w:ascii="宋体" w:hAnsi="宋体" w:cs="宋体"/>
          <w:sz w:val="22"/>
          <w:szCs w:val="22"/>
        </w:rPr>
      </w:pPr>
      <w:r>
        <w:rPr>
          <w:rFonts w:hint="eastAsia" w:ascii="宋体" w:hAnsi="宋体" w:cs="宋体"/>
          <w:sz w:val="22"/>
          <w:szCs w:val="22"/>
        </w:rPr>
        <w:t>5.3.2.9  定期向受托人提交企业年金基金托管和财务报告，定期向有关监管部门提交开展企业年金基金托管业务情况的报告；</w:t>
      </w:r>
    </w:p>
    <w:p w14:paraId="5EEB9BD0">
      <w:pPr>
        <w:spacing w:line="360" w:lineRule="auto"/>
        <w:ind w:firstLine="440" w:firstLineChars="200"/>
        <w:rPr>
          <w:rFonts w:ascii="宋体" w:hAnsi="宋体" w:cs="宋体"/>
          <w:sz w:val="22"/>
          <w:szCs w:val="22"/>
        </w:rPr>
      </w:pPr>
      <w:r>
        <w:rPr>
          <w:rFonts w:hint="eastAsia" w:ascii="宋体" w:hAnsi="宋体" w:cs="宋体"/>
          <w:sz w:val="22"/>
          <w:szCs w:val="22"/>
        </w:rPr>
        <w:t>5.3.2.10  按照国家规定保存企业年金基金托管业务活动记录、账册、报表和其他相关资料自托管合同终止之日起至少15年；</w:t>
      </w:r>
    </w:p>
    <w:p w14:paraId="252C778E">
      <w:pPr>
        <w:spacing w:line="360" w:lineRule="auto"/>
        <w:ind w:firstLine="440" w:firstLineChars="200"/>
        <w:rPr>
          <w:rFonts w:ascii="宋体" w:hAnsi="宋体" w:cs="宋体"/>
          <w:sz w:val="22"/>
          <w:szCs w:val="22"/>
        </w:rPr>
      </w:pPr>
      <w:r>
        <w:rPr>
          <w:rFonts w:hint="eastAsia" w:ascii="宋体" w:hAnsi="宋体" w:cs="宋体"/>
          <w:sz w:val="22"/>
          <w:szCs w:val="22"/>
        </w:rPr>
        <w:t>5.3.2.11  承担法律法规规定及托管合同约定的其他事务。</w:t>
      </w:r>
    </w:p>
    <w:p w14:paraId="1AA59396">
      <w:pPr>
        <w:spacing w:line="360" w:lineRule="auto"/>
        <w:ind w:firstLine="440" w:firstLineChars="200"/>
        <w:rPr>
          <w:rFonts w:ascii="宋体" w:hAnsi="宋体" w:cs="宋体"/>
          <w:sz w:val="22"/>
          <w:szCs w:val="22"/>
        </w:rPr>
      </w:pPr>
      <w:bookmarkStart w:id="48" w:name="_Toc6571"/>
      <w:bookmarkStart w:id="49" w:name="_Toc311040990"/>
      <w:bookmarkStart w:id="50" w:name="_Toc196484079"/>
      <w:r>
        <w:rPr>
          <w:rFonts w:hint="eastAsia" w:ascii="宋体" w:hAnsi="宋体" w:cs="宋体"/>
          <w:sz w:val="22"/>
          <w:szCs w:val="22"/>
        </w:rPr>
        <w:t>5.4  投资管理人的管理职责。</w:t>
      </w:r>
      <w:bookmarkEnd w:id="48"/>
    </w:p>
    <w:p w14:paraId="6440BF76">
      <w:pPr>
        <w:spacing w:line="360" w:lineRule="auto"/>
        <w:ind w:firstLine="440" w:firstLineChars="200"/>
        <w:rPr>
          <w:rFonts w:ascii="宋体" w:hAnsi="宋体" w:cs="宋体"/>
          <w:sz w:val="22"/>
          <w:szCs w:val="22"/>
        </w:rPr>
      </w:pPr>
      <w:r>
        <w:rPr>
          <w:rFonts w:hint="eastAsia" w:ascii="宋体" w:hAnsi="宋体" w:cs="宋体"/>
          <w:sz w:val="22"/>
          <w:szCs w:val="22"/>
        </w:rPr>
        <w:t>5.4</w:t>
      </w:r>
      <w:bookmarkEnd w:id="49"/>
      <w:bookmarkEnd w:id="50"/>
      <w:r>
        <w:rPr>
          <w:rFonts w:hint="eastAsia" w:ascii="宋体" w:hAnsi="宋体" w:cs="宋体"/>
          <w:sz w:val="22"/>
          <w:szCs w:val="22"/>
        </w:rPr>
        <w:t>.1  受托人如委托具备投资管理人资格的金融机构负责企业年金基金投资管理事务，应当签订投资管理合同。投资管理人违反法律法规规定及本合同约定，并由此给企业年金基金财产造成损失的，投资管理人应当依法承担相关法律责任。</w:t>
      </w:r>
    </w:p>
    <w:p w14:paraId="7E2EF12B">
      <w:pPr>
        <w:spacing w:line="360" w:lineRule="auto"/>
        <w:ind w:firstLine="440" w:firstLineChars="200"/>
        <w:rPr>
          <w:rFonts w:ascii="宋体" w:hAnsi="宋体" w:cs="宋体"/>
          <w:sz w:val="22"/>
          <w:szCs w:val="22"/>
        </w:rPr>
      </w:pPr>
      <w:r>
        <w:rPr>
          <w:rFonts w:hint="eastAsia" w:ascii="宋体" w:hAnsi="宋体" w:cs="宋体"/>
          <w:sz w:val="22"/>
          <w:szCs w:val="22"/>
        </w:rPr>
        <w:t>5.4.2  投资管理人承担的投资管理职责包括：</w:t>
      </w:r>
    </w:p>
    <w:p w14:paraId="4F6EF655">
      <w:pPr>
        <w:spacing w:line="360" w:lineRule="auto"/>
        <w:ind w:firstLine="440" w:firstLineChars="200"/>
        <w:rPr>
          <w:rFonts w:ascii="宋体" w:hAnsi="宋体" w:cs="宋体"/>
          <w:sz w:val="22"/>
          <w:szCs w:val="22"/>
        </w:rPr>
      </w:pPr>
      <w:r>
        <w:rPr>
          <w:rFonts w:hint="eastAsia" w:ascii="宋体" w:hAnsi="宋体" w:cs="宋体"/>
          <w:sz w:val="22"/>
          <w:szCs w:val="22"/>
        </w:rPr>
        <w:t>5.4.2.1  企业年金基金投资管理应当遵循谨慎、分散风险的原则，充分考虑企业年金基金财产的安全性、收益性和流动性，实行专业化管理；</w:t>
      </w:r>
    </w:p>
    <w:p w14:paraId="106237A5">
      <w:pPr>
        <w:spacing w:line="360" w:lineRule="auto"/>
        <w:ind w:firstLine="440" w:firstLineChars="200"/>
        <w:rPr>
          <w:rFonts w:ascii="宋体" w:hAnsi="宋体" w:cs="宋体"/>
          <w:sz w:val="22"/>
          <w:szCs w:val="22"/>
        </w:rPr>
      </w:pPr>
      <w:r>
        <w:rPr>
          <w:rFonts w:hint="eastAsia" w:ascii="宋体" w:hAnsi="宋体" w:cs="宋体"/>
          <w:sz w:val="22"/>
          <w:szCs w:val="22"/>
        </w:rPr>
        <w:t>5.4.2.2  执行受托人制定的战略资产配置策略，接受受托人对投资管理人履职情况的监督以及投资管理业绩的考核和评估；</w:t>
      </w:r>
    </w:p>
    <w:p w14:paraId="733F9A31">
      <w:pPr>
        <w:spacing w:line="360" w:lineRule="auto"/>
        <w:ind w:firstLine="440" w:firstLineChars="200"/>
        <w:rPr>
          <w:rFonts w:ascii="宋体" w:hAnsi="宋体" w:cs="宋体"/>
          <w:sz w:val="22"/>
          <w:szCs w:val="22"/>
        </w:rPr>
      </w:pPr>
      <w:r>
        <w:rPr>
          <w:rFonts w:hint="eastAsia" w:ascii="宋体" w:hAnsi="宋体" w:cs="宋体"/>
          <w:sz w:val="22"/>
          <w:szCs w:val="22"/>
        </w:rPr>
        <w:t>5.4.2.3  保证企业年金基金财产独立于其固有财产及其管理的其他财产；</w:t>
      </w:r>
    </w:p>
    <w:p w14:paraId="0760326B">
      <w:pPr>
        <w:spacing w:line="360" w:lineRule="auto"/>
        <w:ind w:firstLine="440" w:firstLineChars="200"/>
        <w:rPr>
          <w:rFonts w:ascii="宋体" w:hAnsi="宋体" w:cs="宋体"/>
          <w:sz w:val="22"/>
          <w:szCs w:val="22"/>
        </w:rPr>
      </w:pPr>
      <w:r>
        <w:rPr>
          <w:rFonts w:hint="eastAsia" w:ascii="宋体" w:hAnsi="宋体" w:cs="宋体"/>
          <w:sz w:val="22"/>
          <w:szCs w:val="22"/>
        </w:rPr>
        <w:t>5.4.2.4  及时与托管人核对企业年金基金会计核算和估值结果；</w:t>
      </w:r>
    </w:p>
    <w:p w14:paraId="5F605BDD">
      <w:pPr>
        <w:spacing w:line="360" w:lineRule="auto"/>
        <w:ind w:firstLine="440" w:firstLineChars="200"/>
        <w:rPr>
          <w:rFonts w:ascii="宋体" w:hAnsi="宋体" w:cs="宋体"/>
          <w:sz w:val="22"/>
          <w:szCs w:val="22"/>
        </w:rPr>
      </w:pPr>
      <w:r>
        <w:rPr>
          <w:rFonts w:hint="eastAsia" w:ascii="宋体" w:hAnsi="宋体" w:cs="宋体"/>
          <w:sz w:val="22"/>
          <w:szCs w:val="22"/>
        </w:rPr>
        <w:t>5.4.2.5  建立企业年金基金投资管理风险准备金；</w:t>
      </w:r>
    </w:p>
    <w:p w14:paraId="1F7B4FDA">
      <w:pPr>
        <w:spacing w:line="360" w:lineRule="auto"/>
        <w:ind w:firstLine="440" w:firstLineChars="200"/>
        <w:rPr>
          <w:rFonts w:ascii="宋体" w:hAnsi="宋体" w:cs="宋体"/>
          <w:sz w:val="22"/>
          <w:szCs w:val="22"/>
        </w:rPr>
      </w:pPr>
      <w:r>
        <w:rPr>
          <w:rFonts w:hint="eastAsia" w:ascii="宋体" w:hAnsi="宋体" w:cs="宋体"/>
          <w:sz w:val="22"/>
          <w:szCs w:val="22"/>
        </w:rPr>
        <w:t>5.4.2.6  定期向受托人提交企业年金基金投资管理报告；定期向有关监管部门提交开展企业年金基金投资管理业务情况的报告；</w:t>
      </w:r>
    </w:p>
    <w:p w14:paraId="1CAB6BF1">
      <w:pPr>
        <w:spacing w:line="360" w:lineRule="auto"/>
        <w:ind w:firstLine="440" w:firstLineChars="200"/>
        <w:rPr>
          <w:rFonts w:ascii="宋体" w:hAnsi="宋体" w:cs="宋体"/>
          <w:sz w:val="22"/>
          <w:szCs w:val="22"/>
        </w:rPr>
      </w:pPr>
      <w:r>
        <w:rPr>
          <w:rFonts w:hint="eastAsia" w:ascii="宋体" w:hAnsi="宋体" w:cs="宋体"/>
          <w:sz w:val="22"/>
          <w:szCs w:val="22"/>
        </w:rPr>
        <w:t>5.4.2.7  按照法律法规规定，代表委托投资资产行使委托投资资产所享有的股东权利、债券持有人权利、基金份额持有人权利等；</w:t>
      </w:r>
    </w:p>
    <w:p w14:paraId="7517A989">
      <w:pPr>
        <w:spacing w:line="360" w:lineRule="auto"/>
        <w:ind w:firstLine="440" w:firstLineChars="200"/>
        <w:rPr>
          <w:rFonts w:ascii="宋体" w:hAnsi="宋体" w:cs="宋体"/>
          <w:sz w:val="22"/>
          <w:szCs w:val="22"/>
        </w:rPr>
      </w:pPr>
      <w:r>
        <w:rPr>
          <w:rFonts w:hint="eastAsia" w:ascii="宋体" w:hAnsi="宋体" w:cs="宋体"/>
          <w:sz w:val="22"/>
          <w:szCs w:val="22"/>
        </w:rPr>
        <w:t>5.4.2.8  按照国家规定保存企业年金基金财产会计凭证、会计账簿、年度财务会计报告和投资记录自投资管理合同终止之日起至少15年；</w:t>
      </w:r>
    </w:p>
    <w:p w14:paraId="3C40FC6A">
      <w:pPr>
        <w:spacing w:line="360" w:lineRule="auto"/>
        <w:ind w:firstLine="440" w:firstLineChars="200"/>
        <w:rPr>
          <w:rFonts w:ascii="宋体" w:hAnsi="宋体" w:cs="宋体"/>
          <w:sz w:val="22"/>
          <w:szCs w:val="22"/>
        </w:rPr>
      </w:pPr>
      <w:r>
        <w:rPr>
          <w:rFonts w:hint="eastAsia" w:ascii="宋体" w:hAnsi="宋体" w:cs="宋体"/>
          <w:sz w:val="22"/>
          <w:szCs w:val="22"/>
        </w:rPr>
        <w:t>5.4.2.9  承担法律法规规定及投资管理合同约定的其他职责。</w:t>
      </w:r>
    </w:p>
    <w:p w14:paraId="70D3A7AA">
      <w:pPr>
        <w:spacing w:line="360" w:lineRule="auto"/>
        <w:ind w:firstLine="440" w:firstLineChars="200"/>
        <w:rPr>
          <w:rFonts w:ascii="宋体" w:hAnsi="宋体" w:cs="宋体"/>
          <w:sz w:val="22"/>
          <w:szCs w:val="22"/>
        </w:rPr>
      </w:pPr>
      <w:r>
        <w:rPr>
          <w:rFonts w:hint="eastAsia" w:ascii="宋体" w:hAnsi="宋体" w:cs="宋体"/>
          <w:sz w:val="22"/>
          <w:szCs w:val="22"/>
        </w:rPr>
        <w:t>5.4.3  受托人如兼任企业年金计划投资管理人，其承担投资管理职责详见《&lt;</w:t>
      </w:r>
      <w:r>
        <w:rPr>
          <w:rFonts w:hint="eastAsia" w:ascii="宋体" w:hAnsi="宋体" w:cs="宋体"/>
          <w:sz w:val="22"/>
          <w:szCs w:val="22"/>
          <w:u w:val="single"/>
        </w:rPr>
        <w:t xml:space="preserve">    </w:t>
      </w:r>
      <w:r>
        <w:rPr>
          <w:rFonts w:hint="eastAsia" w:ascii="宋体" w:hAnsi="宋体" w:cs="宋体"/>
          <w:sz w:val="22"/>
          <w:szCs w:val="22"/>
        </w:rPr>
        <w:t>企业年金计划受托管理合同〉投资管理补充条款》。</w:t>
      </w:r>
    </w:p>
    <w:p w14:paraId="242E7D56">
      <w:pPr>
        <w:spacing w:line="360" w:lineRule="auto"/>
        <w:jc w:val="center"/>
        <w:rPr>
          <w:rFonts w:ascii="宋体" w:hAnsi="宋体" w:cs="宋体"/>
          <w:sz w:val="22"/>
          <w:szCs w:val="22"/>
        </w:rPr>
      </w:pPr>
      <w:bookmarkStart w:id="51" w:name="_Toc319932544"/>
      <w:bookmarkStart w:id="52" w:name="_Toc7308"/>
      <w:bookmarkStart w:id="53" w:name="_Toc311040991"/>
      <w:r>
        <w:rPr>
          <w:rFonts w:hint="eastAsia" w:ascii="宋体" w:hAnsi="宋体" w:cs="宋体"/>
          <w:sz w:val="22"/>
          <w:szCs w:val="22"/>
        </w:rPr>
        <w:t>第六章  企业年金的缴费、领取、转移与保留</w:t>
      </w:r>
      <w:bookmarkEnd w:id="51"/>
      <w:bookmarkEnd w:id="52"/>
    </w:p>
    <w:p w14:paraId="303D02FF">
      <w:pPr>
        <w:spacing w:line="360" w:lineRule="auto"/>
        <w:ind w:firstLine="440" w:firstLineChars="200"/>
        <w:rPr>
          <w:rFonts w:ascii="宋体" w:hAnsi="宋体" w:cs="宋体"/>
          <w:sz w:val="22"/>
          <w:szCs w:val="22"/>
        </w:rPr>
      </w:pPr>
      <w:bookmarkStart w:id="54" w:name="_Toc79"/>
      <w:r>
        <w:rPr>
          <w:rFonts w:hint="eastAsia" w:ascii="宋体" w:hAnsi="宋体" w:cs="宋体"/>
          <w:sz w:val="22"/>
          <w:szCs w:val="22"/>
        </w:rPr>
        <w:t>6.1  企业年金的缴费。</w:t>
      </w:r>
      <w:bookmarkEnd w:id="54"/>
    </w:p>
    <w:p w14:paraId="1DD0766D">
      <w:pPr>
        <w:spacing w:line="360" w:lineRule="auto"/>
        <w:ind w:firstLine="440" w:firstLineChars="200"/>
        <w:rPr>
          <w:rFonts w:ascii="宋体" w:hAnsi="宋体" w:cs="宋体"/>
          <w:sz w:val="22"/>
          <w:szCs w:val="22"/>
        </w:rPr>
      </w:pPr>
      <w:r>
        <w:rPr>
          <w:rFonts w:hint="eastAsia" w:ascii="宋体" w:hAnsi="宋体" w:cs="宋体"/>
          <w:sz w:val="22"/>
          <w:szCs w:val="22"/>
        </w:rPr>
        <w:t>6.1.1  委托人应当按法律法规和企业年金方案规定的缴费来源、缴费比例、缴费方式进行缴费。</w:t>
      </w:r>
    </w:p>
    <w:p w14:paraId="40A19C20">
      <w:pPr>
        <w:spacing w:line="360" w:lineRule="auto"/>
        <w:ind w:firstLine="440" w:firstLineChars="200"/>
        <w:rPr>
          <w:rFonts w:ascii="宋体" w:hAnsi="宋体" w:cs="宋体"/>
          <w:sz w:val="22"/>
          <w:szCs w:val="22"/>
        </w:rPr>
      </w:pPr>
      <w:r>
        <w:rPr>
          <w:rFonts w:hint="eastAsia" w:ascii="宋体" w:hAnsi="宋体" w:cs="宋体"/>
          <w:sz w:val="22"/>
          <w:szCs w:val="22"/>
        </w:rPr>
        <w:t>6.1.2  委托人应当向受托人提供缴费信息，经受托人确认后提交账户管理人。</w:t>
      </w:r>
    </w:p>
    <w:p w14:paraId="75DF737B">
      <w:pPr>
        <w:spacing w:line="360" w:lineRule="auto"/>
        <w:ind w:firstLine="440" w:firstLineChars="200"/>
        <w:rPr>
          <w:rFonts w:ascii="宋体" w:hAnsi="宋体" w:cs="宋体"/>
          <w:sz w:val="22"/>
          <w:szCs w:val="22"/>
        </w:rPr>
      </w:pPr>
      <w:r>
        <w:rPr>
          <w:rFonts w:hint="eastAsia" w:ascii="宋体" w:hAnsi="宋体" w:cs="宋体"/>
          <w:sz w:val="22"/>
          <w:szCs w:val="22"/>
        </w:rPr>
        <w:t>6.1.3  受托人或账户管理人将账户管理人依据缴费信息生成的缴费账单和缴费明细提交委托人确认。</w:t>
      </w:r>
    </w:p>
    <w:p w14:paraId="73216175">
      <w:pPr>
        <w:spacing w:line="360" w:lineRule="auto"/>
        <w:ind w:firstLine="440" w:firstLineChars="200"/>
        <w:rPr>
          <w:rFonts w:ascii="宋体" w:hAnsi="宋体" w:cs="宋体"/>
          <w:sz w:val="22"/>
          <w:szCs w:val="22"/>
        </w:rPr>
      </w:pPr>
      <w:r>
        <w:rPr>
          <w:rFonts w:hint="eastAsia" w:ascii="宋体" w:hAnsi="宋体" w:cs="宋体"/>
          <w:sz w:val="22"/>
          <w:szCs w:val="22"/>
        </w:rPr>
        <w:t>6.1.4  缴费账单和缴费明细经委托人确认后，由受托人向托管人下达缴费收账通知。</w:t>
      </w:r>
    </w:p>
    <w:p w14:paraId="13170F03">
      <w:pPr>
        <w:spacing w:line="360" w:lineRule="auto"/>
        <w:ind w:firstLine="440" w:firstLineChars="200"/>
        <w:rPr>
          <w:rFonts w:ascii="宋体" w:hAnsi="宋体" w:cs="宋体"/>
          <w:sz w:val="22"/>
          <w:szCs w:val="22"/>
        </w:rPr>
      </w:pPr>
      <w:r>
        <w:rPr>
          <w:rFonts w:hint="eastAsia" w:ascii="宋体" w:hAnsi="宋体" w:cs="宋体"/>
          <w:sz w:val="22"/>
          <w:szCs w:val="22"/>
        </w:rPr>
        <w:t>6.1.5  委托人根据缴费账单，将企业年金缴费汇入受托财产托管账户。</w:t>
      </w:r>
    </w:p>
    <w:p w14:paraId="00831F2B">
      <w:pPr>
        <w:spacing w:line="360" w:lineRule="auto"/>
        <w:ind w:firstLine="440" w:firstLineChars="200"/>
        <w:rPr>
          <w:rFonts w:ascii="宋体" w:hAnsi="宋体" w:cs="宋体"/>
          <w:sz w:val="22"/>
          <w:szCs w:val="22"/>
        </w:rPr>
      </w:pPr>
      <w:r>
        <w:rPr>
          <w:rFonts w:hint="eastAsia" w:ascii="宋体" w:hAnsi="宋体" w:cs="宋体"/>
          <w:sz w:val="22"/>
          <w:szCs w:val="22"/>
        </w:rPr>
        <w:t>6.1.6  托管人按缴费收账通知核对实收缴费金额，核对一致后，通知受托人和账户管理人，由受托人向委托人书面确认为企业年金基金财产。若出现超缴或短缴，受托人及时通知委托人做相应处理。</w:t>
      </w:r>
    </w:p>
    <w:p w14:paraId="4C97EB03">
      <w:pPr>
        <w:spacing w:line="360" w:lineRule="auto"/>
        <w:ind w:firstLine="440" w:firstLineChars="200"/>
        <w:rPr>
          <w:rFonts w:ascii="宋体" w:hAnsi="宋体" w:cs="宋体"/>
          <w:sz w:val="22"/>
          <w:szCs w:val="22"/>
        </w:rPr>
      </w:pPr>
      <w:bookmarkStart w:id="55" w:name="_Toc27587"/>
      <w:r>
        <w:rPr>
          <w:rFonts w:hint="eastAsia" w:ascii="宋体" w:hAnsi="宋体" w:cs="宋体"/>
          <w:sz w:val="22"/>
          <w:szCs w:val="22"/>
        </w:rPr>
        <w:t>6.2  企业年金待遇的领取。</w:t>
      </w:r>
      <w:bookmarkEnd w:id="55"/>
    </w:p>
    <w:p w14:paraId="65F9A986">
      <w:pPr>
        <w:spacing w:line="360" w:lineRule="auto"/>
        <w:ind w:firstLine="440" w:firstLineChars="200"/>
        <w:rPr>
          <w:rFonts w:ascii="宋体" w:hAnsi="宋体" w:cs="宋体"/>
          <w:sz w:val="22"/>
          <w:szCs w:val="22"/>
        </w:rPr>
      </w:pPr>
      <w:r>
        <w:rPr>
          <w:rFonts w:hint="eastAsia" w:ascii="宋体" w:hAnsi="宋体" w:cs="宋体"/>
          <w:sz w:val="22"/>
          <w:szCs w:val="22"/>
        </w:rPr>
        <w:t>6.2.1  当受益人符合下列条件之一的，可以领取企业年金待遇：</w:t>
      </w:r>
    </w:p>
    <w:p w14:paraId="54FCDD2F">
      <w:pPr>
        <w:spacing w:line="360" w:lineRule="auto"/>
        <w:ind w:firstLine="440" w:firstLineChars="200"/>
        <w:rPr>
          <w:rFonts w:ascii="宋体" w:hAnsi="宋体" w:cs="宋体"/>
          <w:sz w:val="22"/>
          <w:szCs w:val="22"/>
        </w:rPr>
      </w:pPr>
      <w:r>
        <w:rPr>
          <w:rFonts w:hint="eastAsia" w:ascii="宋体" w:hAnsi="宋体" w:cs="宋体"/>
          <w:sz w:val="22"/>
          <w:szCs w:val="22"/>
        </w:rPr>
        <w:t>6.2.1.1  受益人办理退休手续，可一次性或分期领取；</w:t>
      </w:r>
    </w:p>
    <w:p w14:paraId="57EC76E6">
      <w:pPr>
        <w:spacing w:line="360" w:lineRule="auto"/>
        <w:ind w:firstLine="440" w:firstLineChars="200"/>
        <w:rPr>
          <w:rFonts w:ascii="宋体" w:hAnsi="宋体" w:cs="宋体"/>
          <w:sz w:val="22"/>
          <w:szCs w:val="22"/>
        </w:rPr>
      </w:pPr>
      <w:r>
        <w:rPr>
          <w:rFonts w:hint="eastAsia" w:ascii="宋体" w:hAnsi="宋体" w:cs="宋体"/>
          <w:sz w:val="22"/>
          <w:szCs w:val="22"/>
        </w:rPr>
        <w:t>6.2.1.2  受益人出境定居，一次性领取；</w:t>
      </w:r>
    </w:p>
    <w:p w14:paraId="3ED7F3F1">
      <w:pPr>
        <w:spacing w:line="360" w:lineRule="auto"/>
        <w:ind w:firstLine="440" w:firstLineChars="200"/>
        <w:rPr>
          <w:rFonts w:ascii="宋体" w:hAnsi="宋体" w:cs="宋体"/>
          <w:sz w:val="22"/>
          <w:szCs w:val="22"/>
        </w:rPr>
      </w:pPr>
      <w:r>
        <w:rPr>
          <w:rFonts w:hint="eastAsia" w:ascii="宋体" w:hAnsi="宋体" w:cs="宋体"/>
          <w:sz w:val="22"/>
          <w:szCs w:val="22"/>
        </w:rPr>
        <w:t>6.2.1.3  受益人身故，由其指定的身故受益人或法定继承人一次性领取；</w:t>
      </w:r>
    </w:p>
    <w:p w14:paraId="1C078ADF">
      <w:pPr>
        <w:spacing w:line="360" w:lineRule="auto"/>
        <w:ind w:firstLine="440" w:firstLineChars="200"/>
        <w:rPr>
          <w:rFonts w:ascii="宋体" w:hAnsi="宋体" w:cs="宋体"/>
          <w:sz w:val="22"/>
          <w:szCs w:val="22"/>
        </w:rPr>
      </w:pPr>
      <w:r>
        <w:rPr>
          <w:rFonts w:hint="eastAsia" w:ascii="宋体" w:hAnsi="宋体" w:cs="宋体"/>
          <w:sz w:val="22"/>
          <w:szCs w:val="22"/>
        </w:rPr>
        <w:t>6.2.1.4  法律法规规定的其他可以领取的情形，其领取方式按照法律法规规定执行。</w:t>
      </w:r>
    </w:p>
    <w:p w14:paraId="2F586671">
      <w:pPr>
        <w:spacing w:line="360" w:lineRule="auto"/>
        <w:ind w:firstLine="440" w:firstLineChars="200"/>
        <w:rPr>
          <w:rFonts w:ascii="宋体" w:hAnsi="宋体" w:cs="宋体"/>
          <w:sz w:val="22"/>
          <w:szCs w:val="22"/>
        </w:rPr>
      </w:pPr>
      <w:r>
        <w:rPr>
          <w:rFonts w:hint="eastAsia" w:ascii="宋体" w:hAnsi="宋体" w:cs="宋体"/>
          <w:sz w:val="22"/>
          <w:szCs w:val="22"/>
        </w:rPr>
        <w:t>6.2.2  企业年金待遇领取的程序。</w:t>
      </w:r>
    </w:p>
    <w:p w14:paraId="77E4F73A">
      <w:pPr>
        <w:spacing w:line="360" w:lineRule="auto"/>
        <w:ind w:firstLine="440" w:firstLineChars="200"/>
        <w:rPr>
          <w:rFonts w:ascii="宋体" w:hAnsi="宋体" w:cs="宋体"/>
          <w:sz w:val="22"/>
          <w:szCs w:val="22"/>
        </w:rPr>
      </w:pPr>
      <w:r>
        <w:rPr>
          <w:rFonts w:hint="eastAsia" w:ascii="宋体" w:hAnsi="宋体" w:cs="宋体"/>
          <w:sz w:val="22"/>
          <w:szCs w:val="22"/>
        </w:rPr>
        <w:t>6.2.2.1  受益人向委托人提出领取企业年金待遇的申请。</w:t>
      </w:r>
    </w:p>
    <w:p w14:paraId="2D236692">
      <w:pPr>
        <w:spacing w:line="360" w:lineRule="auto"/>
        <w:ind w:firstLine="440" w:firstLineChars="200"/>
        <w:rPr>
          <w:rFonts w:ascii="宋体" w:hAnsi="宋体" w:cs="宋体"/>
          <w:sz w:val="22"/>
          <w:szCs w:val="22"/>
        </w:rPr>
      </w:pPr>
      <w:r>
        <w:rPr>
          <w:rFonts w:hint="eastAsia" w:ascii="宋体" w:hAnsi="宋体" w:cs="宋体"/>
          <w:sz w:val="22"/>
          <w:szCs w:val="22"/>
        </w:rPr>
        <w:t>6.2.2.2  委托人审核同意受益人的领取申请后，向受托人提交领取企业年金待遇申请。</w:t>
      </w:r>
    </w:p>
    <w:p w14:paraId="29818E62">
      <w:pPr>
        <w:spacing w:line="360" w:lineRule="auto"/>
        <w:ind w:firstLine="440" w:firstLineChars="200"/>
        <w:rPr>
          <w:rFonts w:ascii="宋体" w:hAnsi="宋体" w:cs="宋体"/>
          <w:sz w:val="22"/>
          <w:szCs w:val="22"/>
        </w:rPr>
      </w:pPr>
      <w:r>
        <w:rPr>
          <w:rFonts w:hint="eastAsia" w:ascii="宋体" w:hAnsi="宋体" w:cs="宋体"/>
          <w:sz w:val="22"/>
          <w:szCs w:val="22"/>
        </w:rPr>
        <w:t>6.2.2.3  受托人审核同意委托人的领取申请后，通知账户管理人。</w:t>
      </w:r>
    </w:p>
    <w:p w14:paraId="4E1BE896">
      <w:pPr>
        <w:spacing w:line="360" w:lineRule="auto"/>
        <w:ind w:firstLine="440" w:firstLineChars="200"/>
        <w:rPr>
          <w:rFonts w:ascii="宋体" w:hAnsi="宋体" w:cs="宋体"/>
          <w:sz w:val="22"/>
          <w:szCs w:val="22"/>
        </w:rPr>
      </w:pPr>
      <w:r>
        <w:rPr>
          <w:rFonts w:hint="eastAsia" w:ascii="宋体" w:hAnsi="宋体" w:cs="宋体"/>
          <w:sz w:val="22"/>
          <w:szCs w:val="22"/>
        </w:rPr>
        <w:t>6.2.2.4  账户管理人计算个人账户权益，生成个人账户权益支付表，发送受托人和委托人确认。</w:t>
      </w:r>
    </w:p>
    <w:p w14:paraId="0C7106E3">
      <w:pPr>
        <w:spacing w:line="360" w:lineRule="auto"/>
        <w:ind w:firstLine="440" w:firstLineChars="200"/>
        <w:rPr>
          <w:rFonts w:ascii="宋体" w:hAnsi="宋体" w:cs="宋体"/>
          <w:sz w:val="22"/>
          <w:szCs w:val="22"/>
        </w:rPr>
      </w:pPr>
      <w:r>
        <w:rPr>
          <w:rFonts w:hint="eastAsia" w:ascii="宋体" w:hAnsi="宋体" w:cs="宋体"/>
          <w:sz w:val="22"/>
          <w:szCs w:val="22"/>
        </w:rPr>
        <w:t>6.2.2.5  委托人对个人账户权益支付表进行确认后，通知受托人，受托人向托管人下达待遇支付指令，由托管人向受益人支付企业年金待遇。</w:t>
      </w:r>
    </w:p>
    <w:p w14:paraId="2066DFC8">
      <w:pPr>
        <w:spacing w:line="360" w:lineRule="auto"/>
        <w:ind w:firstLine="440" w:firstLineChars="200"/>
        <w:rPr>
          <w:rFonts w:ascii="宋体" w:hAnsi="宋体" w:cs="宋体"/>
          <w:sz w:val="22"/>
          <w:szCs w:val="22"/>
        </w:rPr>
      </w:pPr>
      <w:bookmarkStart w:id="56" w:name="_Toc4447"/>
      <w:r>
        <w:rPr>
          <w:rFonts w:hint="eastAsia" w:ascii="宋体" w:hAnsi="宋体" w:cs="宋体"/>
          <w:sz w:val="22"/>
          <w:szCs w:val="22"/>
        </w:rPr>
        <w:t>6.3  个人账户权益的转移。</w:t>
      </w:r>
      <w:bookmarkEnd w:id="56"/>
    </w:p>
    <w:p w14:paraId="13018471">
      <w:pPr>
        <w:spacing w:line="360" w:lineRule="auto"/>
        <w:ind w:firstLine="440" w:firstLineChars="200"/>
        <w:rPr>
          <w:rFonts w:ascii="宋体" w:hAnsi="宋体" w:cs="宋体"/>
          <w:sz w:val="22"/>
          <w:szCs w:val="22"/>
        </w:rPr>
      </w:pPr>
      <w:r>
        <w:rPr>
          <w:rFonts w:hint="eastAsia" w:ascii="宋体" w:hAnsi="宋体" w:cs="宋体"/>
          <w:sz w:val="22"/>
          <w:szCs w:val="22"/>
        </w:rPr>
        <w:t>受益人离职的，如新工作单位已经建立企业年金计划的，委托人应当向受托人提出申请将受益人个人账户权益转至新的企业年金计划。</w:t>
      </w:r>
    </w:p>
    <w:p w14:paraId="7335C154">
      <w:pPr>
        <w:spacing w:line="360" w:lineRule="auto"/>
        <w:ind w:firstLine="440" w:firstLineChars="200"/>
        <w:rPr>
          <w:rFonts w:ascii="宋体" w:hAnsi="宋体" w:cs="宋体"/>
          <w:sz w:val="22"/>
          <w:szCs w:val="22"/>
        </w:rPr>
      </w:pPr>
      <w:bookmarkStart w:id="57" w:name="_Toc9235"/>
      <w:r>
        <w:rPr>
          <w:rFonts w:hint="eastAsia" w:ascii="宋体" w:hAnsi="宋体" w:cs="宋体"/>
          <w:sz w:val="22"/>
          <w:szCs w:val="22"/>
        </w:rPr>
        <w:t>6.4  个人账户权益的保留。</w:t>
      </w:r>
      <w:bookmarkEnd w:id="57"/>
    </w:p>
    <w:p w14:paraId="0510D51B">
      <w:pPr>
        <w:spacing w:line="360" w:lineRule="auto"/>
        <w:ind w:firstLine="440" w:firstLineChars="200"/>
        <w:rPr>
          <w:rFonts w:ascii="宋体" w:hAnsi="宋体" w:cs="宋体"/>
          <w:sz w:val="22"/>
          <w:szCs w:val="22"/>
        </w:rPr>
      </w:pPr>
      <w:r>
        <w:rPr>
          <w:rFonts w:hint="eastAsia" w:ascii="宋体" w:hAnsi="宋体" w:cs="宋体"/>
          <w:sz w:val="22"/>
          <w:szCs w:val="22"/>
        </w:rPr>
        <w:t>6.4.1  受益人离职的，如新工作单位尚未建立企业年金计划的，委托人应当按下列</w:t>
      </w:r>
      <w:r>
        <w:rPr>
          <w:rFonts w:hint="eastAsia" w:ascii="宋体" w:hAnsi="宋体" w:cs="宋体"/>
          <w:sz w:val="22"/>
          <w:szCs w:val="22"/>
          <w:u w:val="single"/>
        </w:rPr>
        <w:t xml:space="preserve">     </w:t>
      </w:r>
      <w:r>
        <w:rPr>
          <w:rFonts w:hint="eastAsia" w:ascii="宋体" w:hAnsi="宋体" w:cs="宋体"/>
          <w:sz w:val="22"/>
          <w:szCs w:val="22"/>
        </w:rPr>
        <w:t>方式可将受益人个人账户权益转至保留账户管理。</w:t>
      </w:r>
    </w:p>
    <w:p w14:paraId="7B882797">
      <w:pPr>
        <w:pStyle w:val="53"/>
        <w:spacing w:line="360" w:lineRule="auto"/>
        <w:ind w:firstLine="486" w:firstLineChars="221"/>
        <w:rPr>
          <w:rFonts w:hAnsi="宋体" w:cs="宋体"/>
          <w:sz w:val="22"/>
        </w:rPr>
      </w:pPr>
      <w:r>
        <w:rPr>
          <w:rFonts w:hint="eastAsia" w:hAnsi="宋体" w:cs="宋体"/>
          <w:sz w:val="22"/>
        </w:rPr>
        <w:t>6.4.1.1  委托人向受托人提出申请将受益人个人账户权益在企业年金计划下建立保留账户管理；</w:t>
      </w:r>
    </w:p>
    <w:p w14:paraId="66545FA0">
      <w:pPr>
        <w:pStyle w:val="53"/>
        <w:spacing w:line="360" w:lineRule="auto"/>
        <w:ind w:firstLine="486" w:firstLineChars="221"/>
        <w:rPr>
          <w:rFonts w:hAnsi="宋体" w:cs="宋体"/>
          <w:sz w:val="22"/>
        </w:rPr>
      </w:pPr>
      <w:r>
        <w:rPr>
          <w:rFonts w:hint="eastAsia" w:hAnsi="宋体" w:cs="宋体"/>
          <w:sz w:val="22"/>
        </w:rPr>
        <w:t>6.4.1.2  委托人向受托人提出申请将受益人个人账户权益转至受托人发起的企业年金集合计划下的保留账户统一管理。</w:t>
      </w:r>
    </w:p>
    <w:p w14:paraId="20A7E516">
      <w:pPr>
        <w:spacing w:line="360" w:lineRule="auto"/>
        <w:ind w:firstLine="440" w:firstLineChars="200"/>
        <w:rPr>
          <w:rFonts w:ascii="宋体" w:hAnsi="宋体" w:cs="宋体"/>
          <w:sz w:val="22"/>
          <w:szCs w:val="22"/>
        </w:rPr>
      </w:pPr>
      <w:r>
        <w:rPr>
          <w:rFonts w:hint="eastAsia" w:ascii="宋体" w:hAnsi="宋体" w:cs="宋体"/>
          <w:sz w:val="22"/>
          <w:szCs w:val="22"/>
        </w:rPr>
        <w:t>6.4.2  企业年金计划终止时，受益人个人账户权益转入受托人发起的企业年金集合计划下的保留账户统一管理。</w:t>
      </w:r>
    </w:p>
    <w:p w14:paraId="51ADF03A">
      <w:pPr>
        <w:spacing w:line="360" w:lineRule="auto"/>
        <w:jc w:val="center"/>
        <w:rPr>
          <w:rFonts w:ascii="宋体" w:hAnsi="宋体" w:cs="宋体"/>
          <w:sz w:val="22"/>
          <w:szCs w:val="22"/>
        </w:rPr>
      </w:pPr>
      <w:bookmarkStart w:id="58" w:name="_Toc319932545"/>
      <w:bookmarkStart w:id="59" w:name="_Toc28433"/>
      <w:r>
        <w:rPr>
          <w:rFonts w:hint="eastAsia" w:ascii="宋体" w:hAnsi="宋体" w:cs="宋体"/>
          <w:sz w:val="22"/>
          <w:szCs w:val="22"/>
        </w:rPr>
        <w:t>第七章  投资政策</w:t>
      </w:r>
      <w:bookmarkEnd w:id="58"/>
      <w:bookmarkEnd w:id="59"/>
    </w:p>
    <w:p w14:paraId="20541822">
      <w:pPr>
        <w:spacing w:line="360" w:lineRule="auto"/>
        <w:ind w:firstLine="440" w:firstLineChars="200"/>
        <w:rPr>
          <w:rFonts w:ascii="宋体" w:hAnsi="宋体" w:cs="宋体"/>
          <w:sz w:val="22"/>
          <w:szCs w:val="22"/>
        </w:rPr>
      </w:pPr>
      <w:r>
        <w:rPr>
          <w:rFonts w:hint="eastAsia" w:ascii="宋体" w:hAnsi="宋体" w:cs="宋体"/>
          <w:sz w:val="22"/>
          <w:szCs w:val="22"/>
        </w:rPr>
        <w:t>7.1  受托人根据法律法规规定制定企业年金基金投资政策。</w:t>
      </w:r>
    </w:p>
    <w:p w14:paraId="76328850">
      <w:pPr>
        <w:spacing w:line="360" w:lineRule="auto"/>
        <w:ind w:firstLine="440" w:firstLineChars="200"/>
        <w:rPr>
          <w:rFonts w:ascii="宋体" w:hAnsi="宋体" w:cs="宋体"/>
          <w:sz w:val="22"/>
          <w:szCs w:val="22"/>
        </w:rPr>
      </w:pPr>
      <w:r>
        <w:rPr>
          <w:rFonts w:hint="eastAsia" w:ascii="宋体" w:hAnsi="宋体" w:cs="宋体"/>
          <w:sz w:val="22"/>
          <w:szCs w:val="22"/>
        </w:rPr>
        <w:t>7.1.1  企业年金基金财产限于境内投资，投资范围包括银行存款、国债、中央银行票据、债券回购、万能保险产品、投资连结保险产品、证券投资基金、股票，以及信用等级在投资级以上的金融债、企业(公司）债、可转换债(含分离交易可转换债）、短期融资券和中期票据等金融产品。</w:t>
      </w:r>
    </w:p>
    <w:p w14:paraId="1304B0A4">
      <w:pPr>
        <w:spacing w:line="360" w:lineRule="auto"/>
        <w:ind w:firstLine="440" w:firstLineChars="200"/>
        <w:rPr>
          <w:rFonts w:ascii="宋体" w:hAnsi="宋体" w:cs="宋体"/>
          <w:sz w:val="22"/>
          <w:szCs w:val="22"/>
        </w:rPr>
      </w:pPr>
      <w:r>
        <w:rPr>
          <w:rFonts w:hint="eastAsia" w:ascii="宋体" w:hAnsi="宋体" w:cs="宋体"/>
          <w:sz w:val="22"/>
          <w:szCs w:val="22"/>
        </w:rPr>
        <w:t>7.1.2  企业年金基金财产以投资组合为单位按照公允价值计算应当符合下列规定：</w:t>
      </w:r>
    </w:p>
    <w:p w14:paraId="10864DDA">
      <w:pPr>
        <w:spacing w:line="360" w:lineRule="auto"/>
        <w:ind w:firstLine="440" w:firstLineChars="200"/>
        <w:rPr>
          <w:rFonts w:ascii="宋体" w:hAnsi="宋体" w:cs="宋体"/>
          <w:sz w:val="22"/>
          <w:szCs w:val="22"/>
        </w:rPr>
      </w:pPr>
      <w:r>
        <w:rPr>
          <w:rFonts w:hint="eastAsia" w:ascii="宋体" w:hAnsi="宋体" w:cs="宋体"/>
          <w:sz w:val="22"/>
          <w:szCs w:val="22"/>
        </w:rPr>
        <w:t>7.1.2.1  投资银行活期存款、中央银行票据、债券回购等流动性产品以及货币市场基金的比例，不得低于投资组合企业年金基金财产净值的5%；清算备付金、证券清算款以及一级市场证券申购资金视为流动性资产；投资债券正回购的比例不得高于投资组合企业年金基金财产净值的40%；</w:t>
      </w:r>
    </w:p>
    <w:p w14:paraId="78F8D9D4">
      <w:pPr>
        <w:spacing w:line="360" w:lineRule="auto"/>
        <w:ind w:firstLine="440" w:firstLineChars="200"/>
        <w:rPr>
          <w:rFonts w:ascii="宋体" w:hAnsi="宋体" w:cs="宋体"/>
          <w:sz w:val="22"/>
          <w:szCs w:val="22"/>
        </w:rPr>
      </w:pPr>
      <w:r>
        <w:rPr>
          <w:rFonts w:hint="eastAsia" w:ascii="宋体" w:hAnsi="宋体" w:cs="宋体"/>
          <w:sz w:val="22"/>
          <w:szCs w:val="22"/>
        </w:rPr>
        <w:t>7.1.2.2  投资银行定期存款、协议存款、国债、金融债、企业（公司）债、短期融资券、中期票据、万能保险产品等固定收益类产品以及可转换债（含分离交易可转换债）、债券基金、投资连结保险产品（股票投资比例不高于30%）的比例，不得高于投资组合企业年金基金财产净值的95%；</w:t>
      </w:r>
    </w:p>
    <w:p w14:paraId="3AD934D3">
      <w:pPr>
        <w:spacing w:line="360" w:lineRule="auto"/>
        <w:ind w:firstLine="440" w:firstLineChars="200"/>
        <w:rPr>
          <w:rFonts w:ascii="宋体" w:hAnsi="宋体" w:cs="宋体"/>
          <w:sz w:val="22"/>
          <w:szCs w:val="22"/>
        </w:rPr>
      </w:pPr>
      <w:r>
        <w:rPr>
          <w:rFonts w:hint="eastAsia" w:ascii="宋体" w:hAnsi="宋体" w:cs="宋体"/>
          <w:sz w:val="22"/>
          <w:szCs w:val="22"/>
        </w:rPr>
        <w:t>7.1.2.3  投资股票等权益类产品以及股票基金、混合基金、投资连结保险产品（股票投资比例高于或者等于30%）的比例，不得高于投资组合企业年金基金财产净值的30%。其中，企业年金基金不得直接投资于权证，但因投资股票、分离交易可转换债等投资品种而衍生获得的权证，应当在权证上市交易之日起10个交易日内卖出。</w:t>
      </w:r>
    </w:p>
    <w:p w14:paraId="2C5C9673">
      <w:pPr>
        <w:spacing w:line="360" w:lineRule="auto"/>
        <w:ind w:firstLine="440" w:firstLineChars="200"/>
        <w:rPr>
          <w:rFonts w:ascii="宋体" w:hAnsi="宋体" w:cs="宋体"/>
          <w:sz w:val="22"/>
          <w:szCs w:val="22"/>
        </w:rPr>
      </w:pPr>
      <w:r>
        <w:rPr>
          <w:rFonts w:hint="eastAsia" w:ascii="宋体" w:hAnsi="宋体" w:cs="宋体"/>
          <w:sz w:val="22"/>
          <w:szCs w:val="22"/>
        </w:rPr>
        <w:t>7.1.3  企业年金基金单个投资组合的企业年金基金财产，投资于一家企业所发行的股票，单期发行的同一品种短期融资券、中期票据、金融债、企业（公司）债、可转换债（含分离交易可转换债），单只证券投资基金，单个万能保险产品或者投资连结保险产品，分别不得超过该企业上述证券发行量、该基金份额或者该保险产品资产管理规模的5%；按照公允价值计算，也不得超过该投资组合企业年金基金财产净值的10%。单个投资组合的企业年金基金财产，投资于经备案的单只养老金产品，不得超过该投资组合企业年金基金财产净值的30%，不受上述10%规定的限制。</w:t>
      </w:r>
    </w:p>
    <w:p w14:paraId="4C5B9A3A">
      <w:pPr>
        <w:spacing w:line="360" w:lineRule="auto"/>
        <w:ind w:firstLine="440" w:firstLineChars="200"/>
        <w:rPr>
          <w:rFonts w:ascii="宋体" w:hAnsi="宋体" w:cs="宋体"/>
          <w:sz w:val="22"/>
          <w:szCs w:val="22"/>
        </w:rPr>
      </w:pPr>
      <w:r>
        <w:rPr>
          <w:rFonts w:hint="eastAsia" w:ascii="宋体" w:hAnsi="宋体" w:cs="宋体"/>
          <w:sz w:val="22"/>
          <w:szCs w:val="22"/>
        </w:rPr>
        <w:t>7.2  在法律法规规定范围内，委托人与受托人协商一致，可以修订企业年金基金投资政策，但必须考虑受托人、托管人和投资管理人调整投资政策及投资监督所需必要时间。</w:t>
      </w:r>
    </w:p>
    <w:p w14:paraId="7F7C9AB8">
      <w:pPr>
        <w:spacing w:line="360" w:lineRule="auto"/>
        <w:ind w:firstLine="440" w:firstLineChars="200"/>
        <w:rPr>
          <w:rFonts w:ascii="宋体" w:hAnsi="宋体" w:cs="宋体"/>
          <w:sz w:val="22"/>
          <w:szCs w:val="22"/>
        </w:rPr>
      </w:pPr>
      <w:r>
        <w:rPr>
          <w:rFonts w:hint="eastAsia" w:ascii="宋体" w:hAnsi="宋体" w:cs="宋体"/>
          <w:sz w:val="22"/>
          <w:szCs w:val="22"/>
        </w:rPr>
        <w:t>7.3  企业年金计划投资组合详见投资管理合同。</w:t>
      </w:r>
    </w:p>
    <w:p w14:paraId="13DAF63A">
      <w:pPr>
        <w:spacing w:line="360" w:lineRule="auto"/>
        <w:ind w:firstLine="643"/>
        <w:jc w:val="center"/>
        <w:rPr>
          <w:rFonts w:ascii="宋体" w:hAnsi="宋体" w:cs="宋体"/>
          <w:sz w:val="22"/>
          <w:szCs w:val="22"/>
        </w:rPr>
      </w:pPr>
      <w:bookmarkStart w:id="60" w:name="_Toc7099"/>
      <w:bookmarkStart w:id="61" w:name="_Toc319932546"/>
      <w:r>
        <w:rPr>
          <w:rFonts w:hint="eastAsia" w:ascii="宋体" w:hAnsi="宋体" w:cs="宋体"/>
          <w:sz w:val="22"/>
          <w:szCs w:val="22"/>
        </w:rPr>
        <w:t>第八章　投资管理风险准备金</w:t>
      </w:r>
      <w:bookmarkEnd w:id="53"/>
      <w:bookmarkEnd w:id="60"/>
      <w:bookmarkEnd w:id="61"/>
    </w:p>
    <w:p w14:paraId="6385198B">
      <w:pPr>
        <w:spacing w:line="360" w:lineRule="auto"/>
        <w:ind w:firstLine="440" w:firstLineChars="200"/>
        <w:rPr>
          <w:rFonts w:ascii="宋体" w:hAnsi="宋体" w:cs="宋体"/>
          <w:sz w:val="22"/>
          <w:szCs w:val="22"/>
        </w:rPr>
      </w:pPr>
      <w:r>
        <w:rPr>
          <w:rFonts w:hint="eastAsia" w:ascii="宋体" w:hAnsi="宋体" w:cs="宋体"/>
          <w:sz w:val="22"/>
          <w:szCs w:val="22"/>
        </w:rPr>
        <w:t>8.1  投资管理人按照法律法规规定在托管人处开立投资管理风险准备金账户，并为每个投资组合建立子账户。除法律法规规定或投资管理合同约定外，投资管理人在投资管理合同终止前不得动用或支取投资管理风险准备金。</w:t>
      </w:r>
    </w:p>
    <w:p w14:paraId="6C1DF682">
      <w:pPr>
        <w:spacing w:line="360" w:lineRule="auto"/>
        <w:ind w:firstLine="440" w:firstLineChars="200"/>
        <w:rPr>
          <w:rFonts w:ascii="宋体" w:hAnsi="宋体" w:cs="宋体"/>
          <w:sz w:val="22"/>
          <w:szCs w:val="22"/>
        </w:rPr>
      </w:pPr>
      <w:r>
        <w:rPr>
          <w:rFonts w:hint="eastAsia" w:ascii="宋体" w:hAnsi="宋体" w:cs="宋体"/>
          <w:sz w:val="22"/>
          <w:szCs w:val="22"/>
        </w:rPr>
        <w:t>8.2  投资管理人从投资管理当期收取的投资管理费中，提取20%作为投资管理风险准备金存入投资管理风险准备金账户，专项用于弥补投资管理合同终止时所管理投资组合的企业年金基金资产的当期投资亏损。单个投资组合的投资管理风险准备金余额达到投资组合基金财产净值的10%时可不再提取。</w:t>
      </w:r>
    </w:p>
    <w:p w14:paraId="355D0F2F">
      <w:pPr>
        <w:spacing w:line="360" w:lineRule="auto"/>
        <w:ind w:firstLine="440" w:firstLineChars="200"/>
        <w:rPr>
          <w:rFonts w:ascii="宋体" w:hAnsi="宋体" w:cs="宋体"/>
          <w:sz w:val="22"/>
          <w:szCs w:val="22"/>
        </w:rPr>
      </w:pPr>
      <w:r>
        <w:rPr>
          <w:rFonts w:hint="eastAsia" w:ascii="宋体" w:hAnsi="宋体" w:cs="宋体"/>
          <w:sz w:val="22"/>
          <w:szCs w:val="22"/>
        </w:rPr>
        <w:t>8.3  投资管理合同终止时，如所管理投资组合基金财产净值低于当期委托投资资产的，投资管理人应当用风险准备金弥补该时点的当期委托投资资产亏损，直至该投资组合风险准备金使用完毕；如所管理投资组合的企业年金基金当期委托投资资产没有发生投资亏损或者风险准备金弥补后有剩余的，风险准备金划归投资管理人。受托人在投资管理合同期限结束后的一个季度内，将风险准备金划归投资管理人。</w:t>
      </w:r>
    </w:p>
    <w:p w14:paraId="69005710">
      <w:pPr>
        <w:spacing w:line="360" w:lineRule="auto"/>
        <w:ind w:firstLine="440" w:firstLineChars="200"/>
        <w:rPr>
          <w:rFonts w:ascii="宋体" w:hAnsi="宋体" w:cs="宋体"/>
          <w:sz w:val="22"/>
          <w:szCs w:val="22"/>
        </w:rPr>
      </w:pPr>
      <w:r>
        <w:rPr>
          <w:rFonts w:hint="eastAsia" w:ascii="宋体" w:hAnsi="宋体" w:cs="宋体"/>
          <w:sz w:val="22"/>
          <w:szCs w:val="22"/>
        </w:rPr>
        <w:t>8.4  投资管理合同到期顺延或者到期续签的，按照第8.3款的约定将风险准备金划归投资管理人。</w:t>
      </w:r>
    </w:p>
    <w:p w14:paraId="391EE633">
      <w:pPr>
        <w:spacing w:line="360" w:lineRule="auto"/>
        <w:ind w:firstLine="440" w:firstLineChars="200"/>
        <w:rPr>
          <w:rFonts w:ascii="宋体" w:hAnsi="宋体" w:cs="宋体"/>
          <w:sz w:val="22"/>
          <w:szCs w:val="22"/>
        </w:rPr>
      </w:pPr>
      <w:r>
        <w:rPr>
          <w:rFonts w:hint="eastAsia" w:ascii="宋体" w:hAnsi="宋体" w:cs="宋体"/>
          <w:sz w:val="22"/>
          <w:szCs w:val="22"/>
        </w:rPr>
        <w:t>8.5  投资管理风险准备金由投资管理人进行管理，可以投资于银行存款、国债等高流动性、低风险金融产品。风险准备金投资产生的收益，应当纳入投资管理风险准备金管理。</w:t>
      </w:r>
    </w:p>
    <w:p w14:paraId="011054AB">
      <w:pPr>
        <w:spacing w:line="360" w:lineRule="auto"/>
        <w:jc w:val="center"/>
        <w:rPr>
          <w:rFonts w:ascii="宋体" w:hAnsi="宋体" w:cs="宋体"/>
          <w:sz w:val="22"/>
          <w:szCs w:val="22"/>
        </w:rPr>
      </w:pPr>
      <w:bookmarkStart w:id="62" w:name="_Toc196484080"/>
      <w:bookmarkStart w:id="63" w:name="_Toc178058133"/>
      <w:bookmarkStart w:id="64" w:name="_Toc196398442"/>
      <w:bookmarkStart w:id="65" w:name="_Toc311040992"/>
      <w:bookmarkStart w:id="66" w:name="_Toc319932547"/>
      <w:bookmarkStart w:id="67" w:name="_Toc26621"/>
      <w:r>
        <w:rPr>
          <w:rFonts w:hint="eastAsia" w:ascii="宋体" w:hAnsi="宋体" w:cs="宋体"/>
          <w:sz w:val="22"/>
          <w:szCs w:val="22"/>
        </w:rPr>
        <w:t>第九章  企业年金</w:t>
      </w:r>
      <w:bookmarkEnd w:id="62"/>
      <w:bookmarkEnd w:id="63"/>
      <w:bookmarkEnd w:id="64"/>
      <w:r>
        <w:rPr>
          <w:rFonts w:hint="eastAsia" w:ascii="宋体" w:hAnsi="宋体" w:cs="宋体"/>
          <w:sz w:val="22"/>
          <w:szCs w:val="22"/>
        </w:rPr>
        <w:t>基金财产</w:t>
      </w:r>
      <w:bookmarkEnd w:id="65"/>
      <w:r>
        <w:rPr>
          <w:rFonts w:hint="eastAsia" w:ascii="宋体" w:hAnsi="宋体" w:cs="宋体"/>
          <w:sz w:val="22"/>
          <w:szCs w:val="22"/>
        </w:rPr>
        <w:t>的核算</w:t>
      </w:r>
      <w:bookmarkEnd w:id="66"/>
      <w:bookmarkEnd w:id="67"/>
    </w:p>
    <w:p w14:paraId="0E550F32">
      <w:pPr>
        <w:spacing w:line="360" w:lineRule="auto"/>
        <w:ind w:firstLine="440" w:firstLineChars="200"/>
        <w:rPr>
          <w:rFonts w:ascii="宋体" w:hAnsi="宋体" w:cs="宋体"/>
          <w:sz w:val="22"/>
          <w:szCs w:val="22"/>
        </w:rPr>
      </w:pPr>
      <w:bookmarkStart w:id="68" w:name="_Toc23270"/>
      <w:r>
        <w:rPr>
          <w:rFonts w:hint="eastAsia" w:ascii="宋体" w:hAnsi="宋体" w:cs="宋体"/>
          <w:sz w:val="22"/>
          <w:szCs w:val="22"/>
        </w:rPr>
        <w:t>9.1  企业年金基金财产。</w:t>
      </w:r>
      <w:bookmarkEnd w:id="68"/>
    </w:p>
    <w:p w14:paraId="0AEE62A3">
      <w:pPr>
        <w:spacing w:line="360" w:lineRule="auto"/>
        <w:ind w:firstLine="440" w:firstLineChars="200"/>
        <w:rPr>
          <w:rFonts w:ascii="宋体" w:hAnsi="宋体" w:cs="宋体"/>
          <w:sz w:val="22"/>
          <w:szCs w:val="22"/>
        </w:rPr>
      </w:pPr>
      <w:r>
        <w:rPr>
          <w:rFonts w:hint="eastAsia" w:ascii="宋体" w:hAnsi="宋体" w:cs="宋体"/>
          <w:sz w:val="22"/>
          <w:szCs w:val="22"/>
        </w:rPr>
        <w:t>9.1.1  企业年金基金资产。</w:t>
      </w:r>
    </w:p>
    <w:p w14:paraId="77BACEFE">
      <w:pPr>
        <w:spacing w:line="360" w:lineRule="auto"/>
        <w:ind w:firstLine="440" w:firstLineChars="200"/>
        <w:rPr>
          <w:rFonts w:ascii="宋体" w:hAnsi="宋体" w:cs="宋体"/>
          <w:sz w:val="22"/>
          <w:szCs w:val="22"/>
        </w:rPr>
      </w:pPr>
      <w:r>
        <w:rPr>
          <w:rFonts w:hint="eastAsia" w:ascii="宋体" w:hAnsi="宋体" w:cs="宋体"/>
          <w:sz w:val="22"/>
          <w:szCs w:val="22"/>
        </w:rPr>
        <w:t>指企业年金缴费及运营形成的各项资产，包括：货币资金及其应计利息、应收证券清算款、应收股利、买入返售证券交易资产、其他应收款、债券投资及其应计利息、基金投资、股票投资、其他投资、其他资产等。</w:t>
      </w:r>
    </w:p>
    <w:p w14:paraId="514C6589">
      <w:pPr>
        <w:spacing w:line="360" w:lineRule="auto"/>
        <w:ind w:firstLine="440" w:firstLineChars="200"/>
        <w:rPr>
          <w:rFonts w:ascii="宋体" w:hAnsi="宋体" w:cs="宋体"/>
          <w:sz w:val="22"/>
          <w:szCs w:val="22"/>
        </w:rPr>
      </w:pPr>
      <w:r>
        <w:rPr>
          <w:rFonts w:hint="eastAsia" w:ascii="宋体" w:hAnsi="宋体" w:cs="宋体"/>
          <w:sz w:val="22"/>
          <w:szCs w:val="22"/>
        </w:rPr>
        <w:t>9.1.2  企业年金基金负债。</w:t>
      </w:r>
    </w:p>
    <w:p w14:paraId="2EB026F5">
      <w:pPr>
        <w:spacing w:line="360" w:lineRule="auto"/>
        <w:ind w:firstLine="440" w:firstLineChars="200"/>
        <w:rPr>
          <w:rFonts w:ascii="宋体" w:hAnsi="宋体" w:cs="宋体"/>
          <w:sz w:val="22"/>
          <w:szCs w:val="22"/>
        </w:rPr>
      </w:pPr>
      <w:r>
        <w:rPr>
          <w:rFonts w:hint="eastAsia" w:ascii="宋体" w:hAnsi="宋体" w:cs="宋体"/>
          <w:sz w:val="22"/>
          <w:szCs w:val="22"/>
        </w:rPr>
        <w:t>指企业年金基金运营形成的各项负债，包括：应付证券清算款、应付受益人待遇、应付受托人管理费、应付托管人管理费、应付投资管理人管理费、应交税金、卖出回购证券款、应付利息、应付佣金和其他应付款等。</w:t>
      </w:r>
    </w:p>
    <w:p w14:paraId="43257D6B">
      <w:pPr>
        <w:spacing w:line="360" w:lineRule="auto"/>
        <w:ind w:firstLine="440" w:firstLineChars="200"/>
        <w:rPr>
          <w:rFonts w:ascii="宋体" w:hAnsi="宋体" w:cs="宋体"/>
          <w:sz w:val="22"/>
          <w:szCs w:val="22"/>
        </w:rPr>
      </w:pPr>
      <w:r>
        <w:rPr>
          <w:rFonts w:hint="eastAsia" w:ascii="宋体" w:hAnsi="宋体" w:cs="宋体"/>
          <w:sz w:val="22"/>
          <w:szCs w:val="22"/>
        </w:rPr>
        <w:t>9.1.3  企业年金基金财产净值。</w:t>
      </w:r>
    </w:p>
    <w:p w14:paraId="4C931E25">
      <w:pPr>
        <w:spacing w:line="360" w:lineRule="auto"/>
        <w:ind w:firstLine="440" w:firstLineChars="200"/>
        <w:rPr>
          <w:rFonts w:ascii="宋体" w:hAnsi="宋体" w:cs="宋体"/>
          <w:sz w:val="22"/>
          <w:szCs w:val="22"/>
        </w:rPr>
      </w:pPr>
      <w:r>
        <w:rPr>
          <w:rFonts w:hint="eastAsia" w:ascii="宋体" w:hAnsi="宋体" w:cs="宋体"/>
          <w:sz w:val="22"/>
          <w:szCs w:val="22"/>
        </w:rPr>
        <w:t>指企业年金基金资产减去负债后的余额。</w:t>
      </w:r>
    </w:p>
    <w:p w14:paraId="2A123683">
      <w:pPr>
        <w:spacing w:line="360" w:lineRule="auto"/>
        <w:ind w:firstLine="440" w:firstLineChars="200"/>
        <w:rPr>
          <w:rFonts w:ascii="宋体" w:hAnsi="宋体" w:cs="宋体"/>
          <w:sz w:val="22"/>
          <w:szCs w:val="22"/>
        </w:rPr>
      </w:pPr>
      <w:r>
        <w:rPr>
          <w:rFonts w:hint="eastAsia" w:ascii="宋体" w:hAnsi="宋体" w:cs="宋体"/>
          <w:sz w:val="22"/>
          <w:szCs w:val="22"/>
        </w:rPr>
        <w:t>9.1.4  企业年金基金财产的收益分配。</w:t>
      </w:r>
    </w:p>
    <w:p w14:paraId="5CDC501D">
      <w:pPr>
        <w:spacing w:line="360" w:lineRule="auto"/>
        <w:ind w:firstLine="440" w:firstLineChars="200"/>
        <w:rPr>
          <w:rFonts w:ascii="宋体" w:hAnsi="宋体" w:cs="宋体"/>
          <w:sz w:val="22"/>
          <w:szCs w:val="22"/>
        </w:rPr>
      </w:pPr>
      <w:r>
        <w:rPr>
          <w:rFonts w:hint="eastAsia" w:ascii="宋体" w:hAnsi="宋体" w:cs="宋体"/>
          <w:sz w:val="22"/>
          <w:szCs w:val="22"/>
        </w:rPr>
        <w:t>企业年金基金投资净收益，全部归属于企业年金基金。账户管理人采用份额计量方式进行账户管理，依据企业年金基金财产净值计算基金份额净值，按日或按周足额记入企业账户和个人账户。</w:t>
      </w:r>
    </w:p>
    <w:p w14:paraId="347CA660">
      <w:pPr>
        <w:spacing w:line="360" w:lineRule="auto"/>
        <w:ind w:firstLine="440" w:firstLineChars="200"/>
        <w:rPr>
          <w:rFonts w:ascii="宋体" w:hAnsi="宋体" w:cs="宋体"/>
          <w:sz w:val="22"/>
          <w:szCs w:val="22"/>
        </w:rPr>
      </w:pPr>
      <w:bookmarkStart w:id="69" w:name="_Toc20433"/>
      <w:bookmarkStart w:id="70" w:name="_Toc196484082"/>
      <w:r>
        <w:rPr>
          <w:rFonts w:hint="eastAsia" w:ascii="宋体" w:hAnsi="宋体" w:cs="宋体"/>
          <w:sz w:val="22"/>
          <w:szCs w:val="22"/>
        </w:rPr>
        <w:t>9.2  企业年金基金会计。</w:t>
      </w:r>
      <w:bookmarkEnd w:id="69"/>
    </w:p>
    <w:p w14:paraId="038A0707">
      <w:pPr>
        <w:spacing w:line="360" w:lineRule="auto"/>
        <w:ind w:firstLine="440" w:firstLineChars="200"/>
        <w:rPr>
          <w:rFonts w:ascii="宋体" w:hAnsi="宋体" w:cs="宋体"/>
          <w:sz w:val="22"/>
          <w:szCs w:val="22"/>
        </w:rPr>
      </w:pPr>
      <w:r>
        <w:rPr>
          <w:rFonts w:hint="eastAsia" w:ascii="宋体" w:hAnsi="宋体" w:cs="宋体"/>
          <w:sz w:val="22"/>
          <w:szCs w:val="22"/>
        </w:rPr>
        <w:t>9.2.1  会计年度为公历每年1月1日至12月31日。</w:t>
      </w:r>
    </w:p>
    <w:p w14:paraId="6A47E024">
      <w:pPr>
        <w:spacing w:line="360" w:lineRule="auto"/>
        <w:ind w:firstLine="440" w:firstLineChars="200"/>
        <w:rPr>
          <w:rFonts w:ascii="宋体" w:hAnsi="宋体" w:cs="宋体"/>
          <w:sz w:val="22"/>
          <w:szCs w:val="22"/>
        </w:rPr>
      </w:pPr>
      <w:r>
        <w:rPr>
          <w:rFonts w:hint="eastAsia" w:ascii="宋体" w:hAnsi="宋体" w:cs="宋体"/>
          <w:sz w:val="22"/>
          <w:szCs w:val="22"/>
        </w:rPr>
        <w:t>9.2.2  企业年金基金核算以人民币为记账本位币，以人民币元为记账单位。</w:t>
      </w:r>
    </w:p>
    <w:p w14:paraId="09CFF69E">
      <w:pPr>
        <w:spacing w:line="360" w:lineRule="auto"/>
        <w:ind w:firstLine="440" w:firstLineChars="200"/>
        <w:rPr>
          <w:rFonts w:ascii="宋体" w:hAnsi="宋体" w:cs="宋体"/>
          <w:sz w:val="22"/>
          <w:szCs w:val="22"/>
        </w:rPr>
      </w:pPr>
      <w:r>
        <w:rPr>
          <w:rFonts w:hint="eastAsia" w:ascii="宋体" w:hAnsi="宋体" w:cs="宋体"/>
          <w:sz w:val="22"/>
          <w:szCs w:val="22"/>
        </w:rPr>
        <w:t>9.2.3  会计制度按照《企业会计准则第10号-企业年金基金》和《企业会计准则第22号－金融工具确认和计量》及修订后的相关会计准则，并参照《证券投资基金会计核算业务指引》等规定执行。</w:t>
      </w:r>
    </w:p>
    <w:p w14:paraId="018AB360">
      <w:pPr>
        <w:spacing w:line="360" w:lineRule="auto"/>
        <w:ind w:firstLine="440" w:firstLineChars="200"/>
        <w:rPr>
          <w:rFonts w:ascii="宋体" w:hAnsi="宋体" w:cs="宋体"/>
          <w:sz w:val="22"/>
          <w:szCs w:val="22"/>
        </w:rPr>
      </w:pPr>
      <w:r>
        <w:rPr>
          <w:rFonts w:hint="eastAsia" w:ascii="宋体" w:hAnsi="宋体" w:cs="宋体"/>
          <w:sz w:val="22"/>
          <w:szCs w:val="22"/>
        </w:rPr>
        <w:t>9.2.4  企业年金基金独立建账、独立核算。</w:t>
      </w:r>
    </w:p>
    <w:p w14:paraId="471CC505">
      <w:pPr>
        <w:spacing w:line="360" w:lineRule="auto"/>
        <w:ind w:firstLine="440" w:firstLineChars="200"/>
        <w:rPr>
          <w:rFonts w:ascii="宋体" w:hAnsi="宋体" w:cs="宋体"/>
          <w:sz w:val="22"/>
          <w:szCs w:val="22"/>
        </w:rPr>
      </w:pPr>
      <w:r>
        <w:rPr>
          <w:rFonts w:hint="eastAsia" w:ascii="宋体" w:hAnsi="宋体" w:cs="宋体"/>
          <w:sz w:val="22"/>
          <w:szCs w:val="22"/>
        </w:rPr>
        <w:t>9.2.5  受托人委托托管人、投资管理人分别进行企业年金基金会计核算，并由托管人按照有关规定编制企业年金基金会计报表。</w:t>
      </w:r>
    </w:p>
    <w:p w14:paraId="3C4DBE55">
      <w:pPr>
        <w:spacing w:line="360" w:lineRule="auto"/>
        <w:ind w:firstLine="440" w:firstLineChars="200"/>
        <w:rPr>
          <w:rFonts w:ascii="宋体" w:hAnsi="宋体" w:cs="宋体"/>
          <w:sz w:val="22"/>
          <w:szCs w:val="22"/>
        </w:rPr>
      </w:pPr>
      <w:bookmarkStart w:id="71" w:name="_Toc18952"/>
      <w:r>
        <w:rPr>
          <w:rFonts w:hint="eastAsia" w:ascii="宋体" w:hAnsi="宋体" w:cs="宋体"/>
          <w:sz w:val="22"/>
          <w:szCs w:val="22"/>
        </w:rPr>
        <w:t>9.3  企业年金基金财产估值。</w:t>
      </w:r>
      <w:bookmarkEnd w:id="71"/>
    </w:p>
    <w:p w14:paraId="397C3583">
      <w:pPr>
        <w:spacing w:line="360" w:lineRule="auto"/>
        <w:ind w:firstLine="440" w:firstLineChars="200"/>
        <w:rPr>
          <w:rFonts w:ascii="宋体" w:hAnsi="宋体" w:cs="宋体"/>
          <w:sz w:val="22"/>
          <w:szCs w:val="22"/>
        </w:rPr>
      </w:pPr>
      <w:r>
        <w:rPr>
          <w:rFonts w:hint="eastAsia" w:ascii="宋体" w:hAnsi="宋体" w:cs="宋体"/>
          <w:sz w:val="22"/>
          <w:szCs w:val="22"/>
        </w:rPr>
        <w:t>9.3.1  估值目的。</w:t>
      </w:r>
    </w:p>
    <w:p w14:paraId="3D4C3A16">
      <w:pPr>
        <w:spacing w:line="360" w:lineRule="auto"/>
        <w:ind w:firstLine="440" w:firstLineChars="200"/>
        <w:rPr>
          <w:rFonts w:ascii="宋体" w:hAnsi="宋体" w:cs="宋体"/>
          <w:sz w:val="22"/>
          <w:szCs w:val="22"/>
        </w:rPr>
      </w:pPr>
      <w:r>
        <w:rPr>
          <w:rFonts w:hint="eastAsia" w:ascii="宋体" w:hAnsi="宋体" w:cs="宋体"/>
          <w:sz w:val="22"/>
          <w:szCs w:val="22"/>
        </w:rPr>
        <w:t xml:space="preserve">客观、准确地反映企业年金基金财产的价值。 </w:t>
      </w:r>
    </w:p>
    <w:p w14:paraId="50F12EAD">
      <w:pPr>
        <w:spacing w:line="360" w:lineRule="auto"/>
        <w:ind w:firstLine="440" w:firstLineChars="200"/>
        <w:rPr>
          <w:rFonts w:ascii="宋体" w:hAnsi="宋体" w:cs="宋体"/>
          <w:sz w:val="22"/>
          <w:szCs w:val="22"/>
        </w:rPr>
      </w:pPr>
      <w:r>
        <w:rPr>
          <w:rFonts w:hint="eastAsia" w:ascii="宋体" w:hAnsi="宋体" w:cs="宋体"/>
          <w:sz w:val="22"/>
          <w:szCs w:val="22"/>
        </w:rPr>
        <w:t>9.3.2  估值日。</w:t>
      </w:r>
    </w:p>
    <w:p w14:paraId="7A13C59C">
      <w:pPr>
        <w:spacing w:line="360" w:lineRule="auto"/>
        <w:ind w:firstLine="440" w:firstLineChars="200"/>
        <w:rPr>
          <w:rFonts w:ascii="宋体" w:hAnsi="宋体" w:cs="宋体"/>
          <w:sz w:val="22"/>
          <w:szCs w:val="22"/>
        </w:rPr>
      </w:pPr>
      <w:r>
        <w:rPr>
          <w:rFonts w:hint="eastAsia" w:ascii="宋体" w:hAnsi="宋体" w:cs="宋体"/>
          <w:sz w:val="22"/>
          <w:szCs w:val="22"/>
        </w:rPr>
        <w:t>估值日为交易日。</w:t>
      </w:r>
    </w:p>
    <w:p w14:paraId="1082E28C">
      <w:pPr>
        <w:spacing w:line="360" w:lineRule="auto"/>
        <w:ind w:firstLine="440" w:firstLineChars="200"/>
        <w:rPr>
          <w:rFonts w:ascii="宋体" w:hAnsi="宋体" w:cs="宋体"/>
          <w:sz w:val="22"/>
          <w:szCs w:val="22"/>
        </w:rPr>
      </w:pPr>
      <w:r>
        <w:rPr>
          <w:rFonts w:hint="eastAsia" w:ascii="宋体" w:hAnsi="宋体" w:cs="宋体"/>
          <w:sz w:val="22"/>
          <w:szCs w:val="22"/>
        </w:rPr>
        <w:t>9.3.3  估值对象。</w:t>
      </w:r>
    </w:p>
    <w:p w14:paraId="6820B6D0">
      <w:pPr>
        <w:spacing w:line="360" w:lineRule="auto"/>
        <w:ind w:firstLine="440" w:firstLineChars="200"/>
        <w:rPr>
          <w:rFonts w:ascii="宋体" w:hAnsi="宋体" w:cs="宋体"/>
          <w:sz w:val="22"/>
          <w:szCs w:val="22"/>
        </w:rPr>
      </w:pPr>
      <w:r>
        <w:rPr>
          <w:rFonts w:hint="eastAsia" w:ascii="宋体" w:hAnsi="宋体" w:cs="宋体"/>
          <w:sz w:val="22"/>
          <w:szCs w:val="22"/>
        </w:rPr>
        <w:t>企业年金基金在法律法规规定的投资范围内运营取得的银行存款、国债和其他具有良好流动性的金融产品，包括中央银行票据、债券回购、万能保险产品、投资连结保险产品、证券投资基金、股票，以及信用等级在投资级以上的金融债、企业（公司）债、可转换债（含分离交易可转换债）、短期融资券和中期票据等金融产品。</w:t>
      </w:r>
    </w:p>
    <w:p w14:paraId="16CD220F">
      <w:pPr>
        <w:spacing w:line="360" w:lineRule="auto"/>
        <w:ind w:firstLine="440" w:firstLineChars="200"/>
        <w:rPr>
          <w:rFonts w:ascii="宋体" w:hAnsi="宋体" w:cs="宋体"/>
          <w:sz w:val="22"/>
          <w:szCs w:val="22"/>
        </w:rPr>
      </w:pPr>
      <w:r>
        <w:rPr>
          <w:rFonts w:hint="eastAsia" w:ascii="宋体" w:hAnsi="宋体" w:cs="宋体"/>
          <w:sz w:val="22"/>
          <w:szCs w:val="22"/>
        </w:rPr>
        <w:t xml:space="preserve">9.3.4  估值方法。 </w:t>
      </w:r>
    </w:p>
    <w:p w14:paraId="6E303EF0">
      <w:pPr>
        <w:spacing w:line="360" w:lineRule="auto"/>
        <w:ind w:firstLine="440" w:firstLineChars="200"/>
        <w:rPr>
          <w:rFonts w:ascii="宋体" w:hAnsi="宋体" w:cs="宋体"/>
          <w:sz w:val="22"/>
          <w:szCs w:val="22"/>
        </w:rPr>
      </w:pPr>
      <w:r>
        <w:rPr>
          <w:rFonts w:hint="eastAsia" w:ascii="宋体" w:hAnsi="宋体" w:cs="宋体"/>
          <w:sz w:val="22"/>
          <w:szCs w:val="22"/>
        </w:rPr>
        <w:t>企业年金基金财产的估值适用《企业会计准则第10号-企业年金基金》、《企业会计准则第22号－金融工具确认和计量》及修订后的相关会计准则，并参照《证券投资基金会计核算业务指引》等规定执行。</w:t>
      </w:r>
    </w:p>
    <w:p w14:paraId="78A74CB5">
      <w:pPr>
        <w:spacing w:line="360" w:lineRule="auto"/>
        <w:jc w:val="center"/>
        <w:rPr>
          <w:rFonts w:ascii="宋体" w:hAnsi="宋体" w:cs="宋体"/>
          <w:sz w:val="22"/>
          <w:szCs w:val="22"/>
        </w:rPr>
      </w:pPr>
      <w:bookmarkStart w:id="72" w:name="_Toc319932548"/>
      <w:bookmarkStart w:id="73" w:name="_Toc19114"/>
      <w:bookmarkStart w:id="74" w:name="_Toc311040995"/>
      <w:r>
        <w:rPr>
          <w:rFonts w:hint="eastAsia" w:ascii="宋体" w:hAnsi="宋体" w:cs="宋体"/>
          <w:sz w:val="22"/>
          <w:szCs w:val="22"/>
        </w:rPr>
        <w:t>第十章  企业年金基金的费用</w:t>
      </w:r>
      <w:bookmarkEnd w:id="70"/>
      <w:bookmarkEnd w:id="72"/>
      <w:bookmarkEnd w:id="73"/>
      <w:bookmarkEnd w:id="74"/>
    </w:p>
    <w:p w14:paraId="738E1B9A">
      <w:pPr>
        <w:spacing w:line="360" w:lineRule="auto"/>
        <w:ind w:firstLine="440" w:firstLineChars="200"/>
        <w:rPr>
          <w:rFonts w:ascii="宋体" w:hAnsi="宋体" w:cs="宋体"/>
          <w:sz w:val="22"/>
          <w:szCs w:val="22"/>
        </w:rPr>
      </w:pPr>
      <w:r>
        <w:rPr>
          <w:rFonts w:hint="eastAsia" w:ascii="宋体" w:hAnsi="宋体" w:cs="宋体"/>
          <w:sz w:val="22"/>
          <w:szCs w:val="22"/>
        </w:rPr>
        <w:t>10.1  企业年金基金费用包括受托管理费、托管费、账户管理费、投资管理费、交易费用、资金划拨费用、开户费用、审计费、清算费用以及法律法规规定的其他费用。</w:t>
      </w:r>
    </w:p>
    <w:p w14:paraId="18486211">
      <w:pPr>
        <w:spacing w:line="360" w:lineRule="auto"/>
        <w:ind w:firstLine="440" w:firstLineChars="200"/>
        <w:rPr>
          <w:rFonts w:ascii="宋体" w:hAnsi="宋体" w:cs="宋体"/>
          <w:sz w:val="22"/>
          <w:szCs w:val="22"/>
        </w:rPr>
      </w:pPr>
      <w:r>
        <w:rPr>
          <w:rFonts w:hint="eastAsia" w:ascii="宋体" w:hAnsi="宋体" w:cs="宋体"/>
          <w:sz w:val="22"/>
          <w:szCs w:val="22"/>
        </w:rPr>
        <w:t>10.2  企业年金基金费用的计提方法、计提标准和支付方式</w:t>
      </w:r>
    </w:p>
    <w:p w14:paraId="3A058AB5">
      <w:pPr>
        <w:spacing w:line="360" w:lineRule="auto"/>
        <w:ind w:firstLine="440" w:firstLineChars="200"/>
        <w:rPr>
          <w:rFonts w:ascii="宋体" w:hAnsi="宋体" w:cs="宋体"/>
          <w:sz w:val="22"/>
          <w:szCs w:val="22"/>
        </w:rPr>
      </w:pPr>
      <w:r>
        <w:rPr>
          <w:rFonts w:hint="eastAsia" w:ascii="宋体" w:hAnsi="宋体" w:cs="宋体"/>
          <w:sz w:val="22"/>
          <w:szCs w:val="22"/>
        </w:rPr>
        <w:t>10.2.1  受托管理费。</w:t>
      </w:r>
    </w:p>
    <w:p w14:paraId="795AE682">
      <w:pPr>
        <w:spacing w:line="360" w:lineRule="auto"/>
        <w:ind w:firstLine="440" w:firstLineChars="200"/>
        <w:rPr>
          <w:rFonts w:ascii="宋体" w:hAnsi="宋体" w:cs="宋体"/>
          <w:sz w:val="22"/>
          <w:szCs w:val="22"/>
        </w:rPr>
      </w:pPr>
      <w:r>
        <w:rPr>
          <w:rFonts w:hint="eastAsia" w:ascii="宋体" w:hAnsi="宋体" w:cs="宋体"/>
          <w:sz w:val="22"/>
          <w:szCs w:val="22"/>
        </w:rPr>
        <w:t>10.2.1.1  受托管理费按受托管理的企业年金基金财产净值的</w:t>
      </w:r>
      <w:r>
        <w:rPr>
          <w:rFonts w:hint="eastAsia" w:ascii="宋体" w:hAnsi="宋体" w:cs="宋体"/>
          <w:sz w:val="22"/>
          <w:szCs w:val="22"/>
          <w:u w:val="single"/>
        </w:rPr>
        <w:t xml:space="preserve">    </w:t>
      </w:r>
      <w:r>
        <w:rPr>
          <w:rFonts w:hint="eastAsia" w:ascii="宋体" w:hAnsi="宋体" w:cs="宋体"/>
          <w:sz w:val="22"/>
          <w:szCs w:val="22"/>
        </w:rPr>
        <w:t>%年费率计提。</w:t>
      </w:r>
    </w:p>
    <w:p w14:paraId="02787336">
      <w:pPr>
        <w:spacing w:line="360" w:lineRule="auto"/>
        <w:ind w:firstLine="440" w:firstLineChars="200"/>
        <w:rPr>
          <w:rFonts w:ascii="宋体" w:hAnsi="宋体" w:cs="宋体"/>
          <w:sz w:val="22"/>
          <w:szCs w:val="22"/>
        </w:rPr>
      </w:pPr>
      <w:r>
        <w:rPr>
          <w:rFonts w:hint="eastAsia" w:ascii="宋体" w:hAnsi="宋体" w:cs="宋体"/>
          <w:sz w:val="22"/>
          <w:szCs w:val="22"/>
        </w:rPr>
        <w:t>10.2.1.2  受托管理费计算方法：</w:t>
      </w:r>
    </w:p>
    <w:p w14:paraId="1088A812">
      <w:pPr>
        <w:spacing w:line="360" w:lineRule="auto"/>
        <w:ind w:firstLine="1540" w:firstLineChars="700"/>
        <w:rPr>
          <w:rFonts w:ascii="宋体" w:hAnsi="宋体" w:cs="宋体"/>
          <w:sz w:val="22"/>
          <w:szCs w:val="22"/>
        </w:rPr>
      </w:pPr>
      <w:r>
        <w:rPr>
          <w:rFonts w:hint="eastAsia" w:ascii="宋体" w:hAnsi="宋体" w:cs="宋体"/>
          <w:sz w:val="22"/>
          <w:szCs w:val="22"/>
        </w:rPr>
        <w:t>T= E</w:t>
      </w:r>
      <w:r>
        <w:rPr>
          <w:rFonts w:hint="eastAsia" w:ascii="宋体" w:hAnsi="宋体" w:cs="宋体"/>
          <w:sz w:val="22"/>
          <w:szCs w:val="22"/>
          <w:vertAlign w:val="subscript"/>
        </w:rPr>
        <w:t>1</w:t>
      </w:r>
      <w:r>
        <w:rPr>
          <w:rFonts w:hint="eastAsia" w:ascii="宋体" w:hAnsi="宋体" w:cs="宋体"/>
          <w:sz w:val="22"/>
          <w:szCs w:val="22"/>
        </w:rPr>
        <w:t>×R/当年实际天数</w:t>
      </w:r>
    </w:p>
    <w:p w14:paraId="05ACB626">
      <w:pPr>
        <w:spacing w:line="360" w:lineRule="auto"/>
        <w:ind w:firstLine="1540" w:firstLineChars="700"/>
        <w:rPr>
          <w:rFonts w:ascii="宋体" w:hAnsi="宋体" w:cs="宋体"/>
          <w:sz w:val="22"/>
          <w:szCs w:val="22"/>
        </w:rPr>
      </w:pPr>
      <w:bookmarkStart w:id="75" w:name="_Toc19555"/>
      <w:r>
        <w:rPr>
          <w:rFonts w:hint="eastAsia" w:ascii="宋体" w:hAnsi="宋体" w:cs="宋体"/>
          <w:sz w:val="22"/>
          <w:szCs w:val="22"/>
        </w:rPr>
        <w:t>T：每日应计提的受托管理费；</w:t>
      </w:r>
      <w:bookmarkEnd w:id="75"/>
    </w:p>
    <w:p w14:paraId="4AB434C8">
      <w:pPr>
        <w:spacing w:line="360" w:lineRule="auto"/>
        <w:ind w:firstLine="1540" w:firstLineChars="700"/>
        <w:rPr>
          <w:rFonts w:ascii="宋体" w:hAnsi="宋体" w:cs="宋体"/>
          <w:sz w:val="22"/>
          <w:szCs w:val="22"/>
        </w:rPr>
      </w:pPr>
      <w:r>
        <w:rPr>
          <w:rFonts w:hint="eastAsia" w:ascii="宋体" w:hAnsi="宋体" w:cs="宋体"/>
          <w:sz w:val="22"/>
          <w:szCs w:val="22"/>
        </w:rPr>
        <w:t>E</w:t>
      </w:r>
      <w:r>
        <w:rPr>
          <w:rFonts w:hint="eastAsia" w:ascii="宋体" w:hAnsi="宋体" w:cs="宋体"/>
          <w:sz w:val="22"/>
          <w:szCs w:val="22"/>
          <w:vertAlign w:val="subscript"/>
        </w:rPr>
        <w:t>1</w:t>
      </w:r>
      <w:r>
        <w:rPr>
          <w:rFonts w:hint="eastAsia" w:ascii="宋体" w:hAnsi="宋体" w:cs="宋体"/>
          <w:sz w:val="22"/>
          <w:szCs w:val="22"/>
        </w:rPr>
        <w:t>：前一日受托管理的企业年金基金财产净值（首日按照当日资产计提或首日不计提）；</w:t>
      </w:r>
    </w:p>
    <w:p w14:paraId="0ACE5FD6">
      <w:pPr>
        <w:spacing w:line="360" w:lineRule="auto"/>
        <w:ind w:firstLine="1540" w:firstLineChars="700"/>
        <w:rPr>
          <w:rFonts w:ascii="宋体" w:hAnsi="宋体" w:cs="宋体"/>
          <w:sz w:val="22"/>
          <w:szCs w:val="22"/>
        </w:rPr>
      </w:pPr>
      <w:bookmarkStart w:id="76" w:name="_Toc2059"/>
      <w:r>
        <w:rPr>
          <w:rFonts w:hint="eastAsia" w:ascii="宋体" w:hAnsi="宋体" w:cs="宋体"/>
          <w:sz w:val="22"/>
          <w:szCs w:val="22"/>
        </w:rPr>
        <w:t>R：本合同约定的受托管理费年费率。</w:t>
      </w:r>
      <w:bookmarkEnd w:id="76"/>
    </w:p>
    <w:p w14:paraId="300342C9">
      <w:pPr>
        <w:spacing w:line="360" w:lineRule="auto"/>
        <w:ind w:firstLine="440" w:firstLineChars="200"/>
        <w:rPr>
          <w:rFonts w:ascii="宋体" w:hAnsi="宋体" w:cs="宋体"/>
          <w:sz w:val="22"/>
          <w:szCs w:val="22"/>
        </w:rPr>
      </w:pPr>
      <w:r>
        <w:rPr>
          <w:rFonts w:hint="eastAsia" w:ascii="宋体" w:hAnsi="宋体" w:cs="宋体"/>
          <w:sz w:val="22"/>
          <w:szCs w:val="22"/>
        </w:rPr>
        <w:t>10.2.1.3  受托管理费每日计提，逐日累计，按季支付。</w:t>
      </w:r>
    </w:p>
    <w:p w14:paraId="0C82427E">
      <w:pPr>
        <w:spacing w:line="360" w:lineRule="auto"/>
        <w:ind w:firstLine="440" w:firstLineChars="200"/>
        <w:rPr>
          <w:rFonts w:ascii="宋体" w:hAnsi="宋体" w:cs="宋体"/>
          <w:sz w:val="22"/>
          <w:szCs w:val="22"/>
        </w:rPr>
      </w:pPr>
      <w:r>
        <w:rPr>
          <w:rFonts w:hint="eastAsia" w:ascii="宋体" w:hAnsi="宋体" w:cs="宋体"/>
          <w:sz w:val="22"/>
          <w:szCs w:val="22"/>
        </w:rPr>
        <w:t>10.2.2  账户管理费。</w:t>
      </w:r>
    </w:p>
    <w:p w14:paraId="54F9C3B0">
      <w:pPr>
        <w:spacing w:line="360" w:lineRule="auto"/>
        <w:ind w:firstLine="440" w:firstLineChars="200"/>
        <w:rPr>
          <w:rFonts w:ascii="宋体" w:hAnsi="宋体" w:cs="宋体"/>
          <w:sz w:val="22"/>
          <w:szCs w:val="22"/>
        </w:rPr>
      </w:pPr>
      <w:r>
        <w:rPr>
          <w:rFonts w:hint="eastAsia" w:ascii="宋体" w:hAnsi="宋体" w:cs="宋体"/>
          <w:sz w:val="22"/>
          <w:szCs w:val="22"/>
        </w:rPr>
        <w:t>10.2.2.1  委托人在职职工的个人账户的账户管理费按照每人的个人账户每月</w:t>
      </w:r>
      <w:r>
        <w:rPr>
          <w:rFonts w:hint="eastAsia" w:ascii="宋体" w:hAnsi="宋体" w:cs="宋体"/>
          <w:sz w:val="22"/>
          <w:szCs w:val="22"/>
          <w:u w:val="single"/>
        </w:rPr>
        <w:t xml:space="preserve">     </w:t>
      </w:r>
      <w:r>
        <w:rPr>
          <w:rFonts w:hint="eastAsia" w:ascii="宋体" w:hAnsi="宋体" w:cs="宋体"/>
          <w:sz w:val="22"/>
          <w:szCs w:val="22"/>
        </w:rPr>
        <w:t>元，由委托人支付给账户管理人。每期企业年金基金账户管理费＝∑月个人账户数×账户管理费收费标准，其中“月个人账户数”以月末个人账户户数为准，自人力资源社会保障行政部门出具企业年金计划确认函的当月开始计算并收取账户管理费。</w:t>
      </w:r>
    </w:p>
    <w:p w14:paraId="778C3DA3">
      <w:pPr>
        <w:spacing w:line="360" w:lineRule="auto"/>
        <w:ind w:firstLine="440" w:firstLineChars="200"/>
        <w:rPr>
          <w:rFonts w:ascii="宋体" w:hAnsi="宋体" w:cs="宋体"/>
          <w:sz w:val="22"/>
          <w:szCs w:val="22"/>
        </w:rPr>
      </w:pPr>
      <w:r>
        <w:rPr>
          <w:rFonts w:hint="eastAsia" w:ascii="宋体" w:hAnsi="宋体" w:cs="宋体"/>
          <w:sz w:val="22"/>
          <w:szCs w:val="22"/>
        </w:rPr>
        <w:t>10.2.2.2  委托人退休职工的退休账户的账户管理费按照每人的个人账户每月</w:t>
      </w:r>
      <w:r>
        <w:rPr>
          <w:rFonts w:hint="eastAsia" w:ascii="宋体" w:hAnsi="宋体" w:cs="宋体"/>
          <w:sz w:val="22"/>
          <w:szCs w:val="22"/>
          <w:u w:val="single"/>
        </w:rPr>
        <w:t xml:space="preserve">     </w:t>
      </w:r>
      <w:r>
        <w:rPr>
          <w:rFonts w:hint="eastAsia" w:ascii="宋体" w:hAnsi="宋体" w:cs="宋体"/>
          <w:sz w:val="22"/>
          <w:szCs w:val="22"/>
        </w:rPr>
        <w:t>元，应当按下列</w:t>
      </w:r>
      <w:r>
        <w:rPr>
          <w:rFonts w:hint="eastAsia" w:ascii="宋体" w:hAnsi="宋体" w:cs="宋体"/>
          <w:sz w:val="22"/>
          <w:szCs w:val="22"/>
          <w:u w:val="single"/>
        </w:rPr>
        <w:t xml:space="preserve">     </w:t>
      </w:r>
      <w:r>
        <w:rPr>
          <w:rFonts w:hint="eastAsia" w:ascii="宋体" w:hAnsi="宋体" w:cs="宋体"/>
          <w:sz w:val="22"/>
          <w:szCs w:val="22"/>
        </w:rPr>
        <w:t>方式支付：</w:t>
      </w:r>
    </w:p>
    <w:p w14:paraId="0CD648CB">
      <w:pPr>
        <w:spacing w:line="360" w:lineRule="auto"/>
        <w:ind w:firstLine="440" w:firstLineChars="200"/>
        <w:rPr>
          <w:rFonts w:ascii="宋体" w:hAnsi="宋体" w:cs="宋体"/>
          <w:sz w:val="22"/>
          <w:szCs w:val="22"/>
        </w:rPr>
      </w:pPr>
      <w:r>
        <w:rPr>
          <w:rFonts w:hint="eastAsia" w:ascii="宋体" w:hAnsi="宋体" w:cs="宋体"/>
          <w:sz w:val="22"/>
          <w:szCs w:val="22"/>
        </w:rPr>
        <w:t>10.2.2.2.1  由委托人支付给账户管理人。</w:t>
      </w:r>
    </w:p>
    <w:p w14:paraId="398C7DE0">
      <w:pPr>
        <w:spacing w:line="360" w:lineRule="auto"/>
        <w:ind w:firstLine="440" w:firstLineChars="200"/>
        <w:rPr>
          <w:rFonts w:ascii="宋体" w:hAnsi="宋体" w:cs="宋体"/>
          <w:sz w:val="22"/>
          <w:szCs w:val="22"/>
        </w:rPr>
      </w:pPr>
      <w:r>
        <w:rPr>
          <w:rFonts w:hint="eastAsia" w:ascii="宋体" w:hAnsi="宋体" w:cs="宋体"/>
          <w:sz w:val="22"/>
          <w:szCs w:val="22"/>
        </w:rPr>
        <w:t>10.2.2.2.2  由职工本人承担，从其个人账户中扣除。</w:t>
      </w:r>
    </w:p>
    <w:p w14:paraId="0EA16AA0">
      <w:pPr>
        <w:spacing w:line="360" w:lineRule="auto"/>
        <w:ind w:firstLine="440" w:firstLineChars="200"/>
        <w:rPr>
          <w:rFonts w:ascii="宋体" w:hAnsi="宋体" w:cs="宋体"/>
          <w:sz w:val="22"/>
          <w:szCs w:val="22"/>
        </w:rPr>
      </w:pPr>
      <w:r>
        <w:rPr>
          <w:rFonts w:hint="eastAsia" w:ascii="宋体" w:hAnsi="宋体" w:cs="宋体"/>
          <w:sz w:val="22"/>
          <w:szCs w:val="22"/>
        </w:rPr>
        <w:t>10.2.2.3  委托人离职职工的保留账户的账户管理费按照每人的个人账户每月</w:t>
      </w:r>
      <w:r>
        <w:rPr>
          <w:rFonts w:hint="eastAsia" w:ascii="宋体" w:hAnsi="宋体" w:cs="宋体"/>
          <w:sz w:val="22"/>
          <w:szCs w:val="22"/>
          <w:u w:val="single"/>
        </w:rPr>
        <w:t xml:space="preserve">     </w:t>
      </w:r>
      <w:r>
        <w:rPr>
          <w:rFonts w:hint="eastAsia" w:ascii="宋体" w:hAnsi="宋体" w:cs="宋体"/>
          <w:sz w:val="22"/>
          <w:szCs w:val="22"/>
        </w:rPr>
        <w:t>元，应当按下列</w:t>
      </w:r>
      <w:r>
        <w:rPr>
          <w:rFonts w:hint="eastAsia" w:ascii="宋体" w:hAnsi="宋体" w:cs="宋体"/>
          <w:sz w:val="22"/>
          <w:szCs w:val="22"/>
          <w:u w:val="single"/>
        </w:rPr>
        <w:t xml:space="preserve">     </w:t>
      </w:r>
      <w:r>
        <w:rPr>
          <w:rFonts w:hint="eastAsia" w:ascii="宋体" w:hAnsi="宋体" w:cs="宋体"/>
          <w:sz w:val="22"/>
          <w:szCs w:val="22"/>
        </w:rPr>
        <w:t>方式支付：</w:t>
      </w:r>
    </w:p>
    <w:p w14:paraId="5086C6AB">
      <w:pPr>
        <w:spacing w:line="360" w:lineRule="auto"/>
        <w:ind w:firstLine="440" w:firstLineChars="200"/>
        <w:rPr>
          <w:rFonts w:ascii="宋体" w:hAnsi="宋体" w:cs="宋体"/>
          <w:sz w:val="22"/>
          <w:szCs w:val="22"/>
        </w:rPr>
      </w:pPr>
      <w:r>
        <w:rPr>
          <w:rFonts w:hint="eastAsia" w:ascii="宋体" w:hAnsi="宋体" w:cs="宋体"/>
          <w:sz w:val="22"/>
          <w:szCs w:val="22"/>
        </w:rPr>
        <w:t>10.2.2.3.1  由委托人支付给账户管理人。</w:t>
      </w:r>
    </w:p>
    <w:p w14:paraId="01F694CF">
      <w:pPr>
        <w:spacing w:line="360" w:lineRule="auto"/>
        <w:ind w:firstLine="440" w:firstLineChars="200"/>
        <w:rPr>
          <w:rFonts w:ascii="宋体" w:hAnsi="宋体" w:cs="宋体"/>
          <w:sz w:val="22"/>
          <w:szCs w:val="22"/>
        </w:rPr>
      </w:pPr>
      <w:r>
        <w:rPr>
          <w:rFonts w:hint="eastAsia" w:ascii="宋体" w:hAnsi="宋体" w:cs="宋体"/>
          <w:sz w:val="22"/>
          <w:szCs w:val="22"/>
        </w:rPr>
        <w:t>10.2.2.3.2  由职工本人承担，从其个人账户中扣除。</w:t>
      </w:r>
    </w:p>
    <w:p w14:paraId="071C90C3">
      <w:pPr>
        <w:spacing w:line="360" w:lineRule="auto"/>
        <w:ind w:firstLine="440" w:firstLineChars="200"/>
        <w:rPr>
          <w:rFonts w:ascii="宋体" w:hAnsi="宋体" w:cs="宋体"/>
          <w:sz w:val="22"/>
          <w:szCs w:val="22"/>
        </w:rPr>
      </w:pPr>
      <w:r>
        <w:rPr>
          <w:rFonts w:hint="eastAsia" w:ascii="宋体" w:hAnsi="宋体" w:cs="宋体"/>
          <w:sz w:val="22"/>
          <w:szCs w:val="22"/>
        </w:rPr>
        <w:t>10.2.2.4  委托人按季支付账户管理费。账户管理人将账户管理费通知单发送给委托人，委托人应当在收到账户管理费通知单后及时将账户管理费足额付至账户管理人指定的银行账户。</w:t>
      </w:r>
    </w:p>
    <w:p w14:paraId="4E272BB1">
      <w:pPr>
        <w:spacing w:line="360" w:lineRule="auto"/>
        <w:ind w:firstLine="440" w:firstLineChars="200"/>
        <w:rPr>
          <w:rFonts w:ascii="宋体" w:hAnsi="宋体" w:cs="宋体"/>
          <w:sz w:val="22"/>
          <w:szCs w:val="22"/>
        </w:rPr>
      </w:pPr>
      <w:r>
        <w:rPr>
          <w:rFonts w:hint="eastAsia" w:ascii="宋体" w:hAnsi="宋体" w:cs="宋体"/>
          <w:sz w:val="22"/>
          <w:szCs w:val="22"/>
        </w:rPr>
        <w:t>10.2.2.5  职工本人承担的账户管理费，从其个人账户中扣除，扣除的具体方式可在操作备忘录等补充协议中约定。</w:t>
      </w:r>
    </w:p>
    <w:p w14:paraId="7011B17A">
      <w:pPr>
        <w:spacing w:line="360" w:lineRule="auto"/>
        <w:ind w:firstLine="440" w:firstLineChars="200"/>
        <w:rPr>
          <w:rFonts w:ascii="宋体" w:hAnsi="宋体" w:cs="宋体"/>
          <w:sz w:val="22"/>
          <w:szCs w:val="22"/>
        </w:rPr>
      </w:pPr>
      <w:r>
        <w:rPr>
          <w:rFonts w:hint="eastAsia" w:ascii="宋体" w:hAnsi="宋体" w:cs="宋体"/>
          <w:sz w:val="22"/>
          <w:szCs w:val="22"/>
        </w:rPr>
        <w:t>10.2.2.6  委托人违反本合同约定，逾期30日仍未足额支付账户管理费，账户管理人有权停止向委托人及受益人提供企业年金计划信息披露及信息查询服务。逾期时间自账户管理费最后支付时限届满次日起算。</w:t>
      </w:r>
    </w:p>
    <w:p w14:paraId="065394B0">
      <w:pPr>
        <w:spacing w:line="360" w:lineRule="auto"/>
        <w:ind w:firstLine="440" w:firstLineChars="200"/>
        <w:rPr>
          <w:rFonts w:ascii="宋体" w:hAnsi="宋体" w:cs="宋体"/>
          <w:sz w:val="22"/>
          <w:szCs w:val="22"/>
        </w:rPr>
      </w:pPr>
      <w:r>
        <w:rPr>
          <w:rFonts w:hint="eastAsia" w:ascii="宋体" w:hAnsi="宋体" w:cs="宋体"/>
          <w:sz w:val="22"/>
          <w:szCs w:val="22"/>
        </w:rPr>
        <w:t>10.2.3  托管费。</w:t>
      </w:r>
    </w:p>
    <w:p w14:paraId="06417AB6">
      <w:pPr>
        <w:spacing w:line="360" w:lineRule="auto"/>
        <w:ind w:firstLine="440" w:firstLineChars="200"/>
        <w:rPr>
          <w:rFonts w:ascii="宋体" w:hAnsi="宋体" w:cs="宋体"/>
          <w:sz w:val="22"/>
          <w:szCs w:val="22"/>
        </w:rPr>
      </w:pPr>
      <w:r>
        <w:rPr>
          <w:rFonts w:hint="eastAsia" w:ascii="宋体" w:hAnsi="宋体" w:cs="宋体"/>
          <w:sz w:val="22"/>
          <w:szCs w:val="22"/>
        </w:rPr>
        <w:t>10.2.3.1  托管费按托管的企业年金基金财产净值的</w:t>
      </w:r>
      <w:r>
        <w:rPr>
          <w:rFonts w:hint="eastAsia" w:ascii="宋体" w:hAnsi="宋体" w:cs="宋体"/>
          <w:sz w:val="22"/>
          <w:szCs w:val="22"/>
          <w:u w:val="single"/>
        </w:rPr>
        <w:t xml:space="preserve">    </w:t>
      </w:r>
      <w:r>
        <w:rPr>
          <w:rFonts w:hint="eastAsia" w:ascii="宋体" w:hAnsi="宋体" w:cs="宋体"/>
          <w:sz w:val="22"/>
          <w:szCs w:val="22"/>
        </w:rPr>
        <w:t>%年费率计提。</w:t>
      </w:r>
    </w:p>
    <w:p w14:paraId="6E206683">
      <w:pPr>
        <w:spacing w:line="360" w:lineRule="auto"/>
        <w:ind w:firstLine="440" w:firstLineChars="200"/>
        <w:rPr>
          <w:rFonts w:ascii="宋体" w:hAnsi="宋体" w:cs="宋体"/>
          <w:sz w:val="22"/>
          <w:szCs w:val="22"/>
        </w:rPr>
      </w:pPr>
      <w:r>
        <w:rPr>
          <w:rFonts w:hint="eastAsia" w:ascii="宋体" w:hAnsi="宋体" w:cs="宋体"/>
          <w:sz w:val="22"/>
          <w:szCs w:val="22"/>
        </w:rPr>
        <w:t>10.2.3.2  托管费计算方式：</w:t>
      </w:r>
    </w:p>
    <w:p w14:paraId="5BCC23B9">
      <w:pPr>
        <w:spacing w:line="360" w:lineRule="auto"/>
        <w:ind w:firstLine="1540" w:firstLineChars="700"/>
        <w:rPr>
          <w:rFonts w:ascii="宋体" w:hAnsi="宋体" w:cs="宋体"/>
          <w:sz w:val="22"/>
          <w:szCs w:val="22"/>
        </w:rPr>
      </w:pPr>
      <w:r>
        <w:rPr>
          <w:rFonts w:hint="eastAsia" w:ascii="宋体" w:hAnsi="宋体" w:cs="宋体"/>
          <w:sz w:val="22"/>
          <w:szCs w:val="22"/>
        </w:rPr>
        <w:t>C=E</w:t>
      </w:r>
      <w:r>
        <w:rPr>
          <w:rFonts w:hint="eastAsia" w:ascii="宋体" w:hAnsi="宋体" w:cs="宋体"/>
          <w:sz w:val="22"/>
          <w:szCs w:val="22"/>
          <w:vertAlign w:val="subscript"/>
        </w:rPr>
        <w:t>2</w:t>
      </w:r>
      <w:r>
        <w:rPr>
          <w:rFonts w:hint="eastAsia" w:ascii="宋体" w:hAnsi="宋体" w:cs="宋体"/>
          <w:sz w:val="22"/>
          <w:szCs w:val="22"/>
        </w:rPr>
        <w:t>×S/当年实际天数</w:t>
      </w:r>
    </w:p>
    <w:p w14:paraId="26BD337A">
      <w:pPr>
        <w:spacing w:line="360" w:lineRule="auto"/>
        <w:ind w:firstLine="1540" w:firstLineChars="700"/>
        <w:rPr>
          <w:rFonts w:ascii="宋体" w:hAnsi="宋体" w:cs="宋体"/>
          <w:sz w:val="22"/>
          <w:szCs w:val="22"/>
        </w:rPr>
      </w:pPr>
      <w:bookmarkStart w:id="77" w:name="_Toc28555"/>
      <w:r>
        <w:rPr>
          <w:rFonts w:hint="eastAsia" w:ascii="宋体" w:hAnsi="宋体" w:cs="宋体"/>
          <w:sz w:val="22"/>
          <w:szCs w:val="22"/>
        </w:rPr>
        <w:t>C：每日应计提的托管费；</w:t>
      </w:r>
      <w:bookmarkEnd w:id="77"/>
    </w:p>
    <w:p w14:paraId="3B55B4E4">
      <w:pPr>
        <w:spacing w:line="360" w:lineRule="auto"/>
        <w:ind w:firstLine="1540" w:firstLineChars="700"/>
        <w:rPr>
          <w:rFonts w:ascii="宋体" w:hAnsi="宋体" w:cs="宋体"/>
          <w:sz w:val="22"/>
          <w:szCs w:val="22"/>
        </w:rPr>
      </w:pPr>
      <w:r>
        <w:rPr>
          <w:rFonts w:hint="eastAsia" w:ascii="宋体" w:hAnsi="宋体" w:cs="宋体"/>
          <w:sz w:val="22"/>
          <w:szCs w:val="22"/>
        </w:rPr>
        <w:t>E</w:t>
      </w:r>
      <w:r>
        <w:rPr>
          <w:rFonts w:hint="eastAsia" w:ascii="宋体" w:hAnsi="宋体" w:cs="宋体"/>
          <w:sz w:val="22"/>
          <w:szCs w:val="22"/>
          <w:vertAlign w:val="subscript"/>
        </w:rPr>
        <w:t>2</w:t>
      </w:r>
      <w:r>
        <w:rPr>
          <w:rFonts w:hint="eastAsia" w:ascii="宋体" w:hAnsi="宋体" w:cs="宋体"/>
          <w:sz w:val="22"/>
          <w:szCs w:val="22"/>
        </w:rPr>
        <w:t>：前一日托管的企业年金基金财产净值（首日按照当日资产计提或首日不计提）；</w:t>
      </w:r>
    </w:p>
    <w:p w14:paraId="784D3305">
      <w:pPr>
        <w:spacing w:line="360" w:lineRule="auto"/>
        <w:ind w:firstLine="1540" w:firstLineChars="700"/>
        <w:rPr>
          <w:rFonts w:ascii="宋体" w:hAnsi="宋体" w:cs="宋体"/>
          <w:sz w:val="22"/>
          <w:szCs w:val="22"/>
        </w:rPr>
      </w:pPr>
      <w:bookmarkStart w:id="78" w:name="_Toc4818"/>
      <w:r>
        <w:rPr>
          <w:rFonts w:hint="eastAsia" w:ascii="宋体" w:hAnsi="宋体" w:cs="宋体"/>
          <w:sz w:val="22"/>
          <w:szCs w:val="22"/>
        </w:rPr>
        <w:t>S：本合同约定的托管费年费率。</w:t>
      </w:r>
      <w:bookmarkEnd w:id="78"/>
    </w:p>
    <w:p w14:paraId="4B123659">
      <w:pPr>
        <w:spacing w:line="360" w:lineRule="auto"/>
        <w:ind w:firstLine="440" w:firstLineChars="200"/>
        <w:rPr>
          <w:rFonts w:ascii="宋体" w:hAnsi="宋体" w:cs="宋体"/>
          <w:sz w:val="22"/>
          <w:szCs w:val="22"/>
        </w:rPr>
      </w:pPr>
      <w:r>
        <w:rPr>
          <w:rFonts w:hint="eastAsia" w:ascii="宋体" w:hAnsi="宋体" w:cs="宋体"/>
          <w:sz w:val="22"/>
          <w:szCs w:val="22"/>
        </w:rPr>
        <w:t>10.2.3.3  托管费每日计提，逐日累计，按季支付。</w:t>
      </w:r>
    </w:p>
    <w:p w14:paraId="6B3F262A">
      <w:pPr>
        <w:spacing w:line="360" w:lineRule="auto"/>
        <w:ind w:firstLine="440" w:firstLineChars="200"/>
        <w:rPr>
          <w:rFonts w:ascii="宋体" w:hAnsi="宋体" w:cs="宋体"/>
          <w:sz w:val="22"/>
          <w:szCs w:val="22"/>
        </w:rPr>
      </w:pPr>
      <w:r>
        <w:rPr>
          <w:rFonts w:hint="eastAsia" w:ascii="宋体" w:hAnsi="宋体" w:cs="宋体"/>
          <w:sz w:val="22"/>
          <w:szCs w:val="22"/>
        </w:rPr>
        <w:t>10.2.4  投资管理费。</w:t>
      </w:r>
    </w:p>
    <w:p w14:paraId="1341F72E">
      <w:pPr>
        <w:spacing w:line="360" w:lineRule="auto"/>
        <w:ind w:left="1003" w:leftChars="268" w:hanging="440" w:hangingChars="200"/>
        <w:rPr>
          <w:rFonts w:ascii="宋体" w:hAnsi="宋体" w:cs="宋体"/>
          <w:sz w:val="22"/>
          <w:szCs w:val="22"/>
        </w:rPr>
      </w:pPr>
      <w:r>
        <w:rPr>
          <w:rFonts w:hint="eastAsia" w:ascii="宋体" w:hAnsi="宋体" w:cs="宋体"/>
          <w:sz w:val="22"/>
          <w:szCs w:val="22"/>
        </w:rPr>
        <w:t>10.2.4.1  固定管理费。</w:t>
      </w:r>
    </w:p>
    <w:p w14:paraId="6D6D71B4">
      <w:pPr>
        <w:spacing w:line="360" w:lineRule="auto"/>
        <w:ind w:left="420" w:leftChars="200" w:right="206" w:rightChars="98" w:firstLine="110" w:firstLineChars="50"/>
        <w:rPr>
          <w:rFonts w:ascii="宋体" w:hAnsi="宋体" w:cs="宋体"/>
          <w:sz w:val="22"/>
          <w:szCs w:val="22"/>
        </w:rPr>
      </w:pPr>
      <w:r>
        <w:rPr>
          <w:rFonts w:hint="eastAsia" w:ascii="宋体" w:hAnsi="宋体" w:cs="宋体"/>
          <w:sz w:val="22"/>
          <w:szCs w:val="22"/>
        </w:rPr>
        <w:t>10.2.4.1.1  投资管理费按投资管理的企业年金基金财产净</w:t>
      </w:r>
    </w:p>
    <w:p w14:paraId="2C453AEC">
      <w:pPr>
        <w:spacing w:line="360" w:lineRule="auto"/>
        <w:ind w:right="206" w:rightChars="98"/>
        <w:rPr>
          <w:rFonts w:ascii="宋体" w:hAnsi="宋体" w:cs="宋体"/>
          <w:sz w:val="22"/>
          <w:szCs w:val="22"/>
        </w:rPr>
      </w:pPr>
      <w:r>
        <w:rPr>
          <w:rFonts w:hint="eastAsia" w:ascii="宋体" w:hAnsi="宋体" w:cs="宋体"/>
          <w:sz w:val="22"/>
          <w:szCs w:val="22"/>
        </w:rPr>
        <w:t>值的</w:t>
      </w:r>
      <w:r>
        <w:rPr>
          <w:rFonts w:hint="eastAsia" w:ascii="宋体" w:hAnsi="宋体" w:cs="宋体"/>
          <w:sz w:val="22"/>
          <w:szCs w:val="22"/>
          <w:u w:val="single"/>
        </w:rPr>
        <w:t xml:space="preserve">  </w:t>
      </w:r>
      <w:r>
        <w:rPr>
          <w:rFonts w:hint="eastAsia" w:ascii="宋体" w:hAnsi="宋体" w:cs="宋体"/>
          <w:sz w:val="22"/>
          <w:szCs w:val="22"/>
        </w:rPr>
        <w:t xml:space="preserve"> %年费率计提。</w:t>
      </w:r>
    </w:p>
    <w:p w14:paraId="7EBCC684">
      <w:pPr>
        <w:spacing w:line="360" w:lineRule="auto"/>
        <w:ind w:firstLine="440" w:firstLineChars="200"/>
        <w:rPr>
          <w:rFonts w:ascii="宋体" w:hAnsi="宋体" w:cs="宋体"/>
          <w:sz w:val="22"/>
          <w:szCs w:val="22"/>
        </w:rPr>
      </w:pPr>
      <w:r>
        <w:rPr>
          <w:rFonts w:hint="eastAsia" w:ascii="宋体" w:hAnsi="宋体" w:cs="宋体"/>
          <w:sz w:val="22"/>
          <w:szCs w:val="22"/>
        </w:rPr>
        <w:t>10.2.4.1.2  投资管理费计算方式：</w:t>
      </w:r>
    </w:p>
    <w:p w14:paraId="70EEE7D4">
      <w:pPr>
        <w:spacing w:line="360" w:lineRule="auto"/>
        <w:ind w:firstLine="1540" w:firstLineChars="700"/>
        <w:rPr>
          <w:rFonts w:ascii="宋体" w:hAnsi="宋体" w:cs="宋体"/>
          <w:sz w:val="22"/>
          <w:szCs w:val="22"/>
        </w:rPr>
      </w:pPr>
      <w:r>
        <w:rPr>
          <w:rFonts w:hint="eastAsia" w:ascii="宋体" w:hAnsi="宋体" w:cs="宋体"/>
          <w:sz w:val="22"/>
          <w:szCs w:val="22"/>
        </w:rPr>
        <w:t>I=E</w:t>
      </w:r>
      <w:r>
        <w:rPr>
          <w:rFonts w:hint="eastAsia" w:ascii="宋体" w:hAnsi="宋体" w:cs="宋体"/>
          <w:sz w:val="22"/>
          <w:szCs w:val="22"/>
          <w:vertAlign w:val="subscript"/>
        </w:rPr>
        <w:t>3</w:t>
      </w:r>
      <w:r>
        <w:rPr>
          <w:rFonts w:hint="eastAsia" w:ascii="宋体" w:hAnsi="宋体" w:cs="宋体"/>
          <w:sz w:val="22"/>
          <w:szCs w:val="22"/>
        </w:rPr>
        <w:t>×U/当年实际天数</w:t>
      </w:r>
    </w:p>
    <w:p w14:paraId="087E37A3">
      <w:pPr>
        <w:spacing w:line="360" w:lineRule="auto"/>
        <w:ind w:firstLine="1540" w:firstLineChars="700"/>
        <w:rPr>
          <w:rFonts w:ascii="宋体" w:hAnsi="宋体" w:cs="宋体"/>
          <w:sz w:val="22"/>
          <w:szCs w:val="22"/>
        </w:rPr>
      </w:pPr>
      <w:r>
        <w:rPr>
          <w:rFonts w:hint="eastAsia" w:ascii="宋体" w:hAnsi="宋体" w:cs="宋体"/>
          <w:sz w:val="22"/>
          <w:szCs w:val="22"/>
        </w:rPr>
        <w:t>I：每日应计提的投资管理费；</w:t>
      </w:r>
    </w:p>
    <w:p w14:paraId="26B9B3EF">
      <w:pPr>
        <w:spacing w:line="360" w:lineRule="auto"/>
        <w:ind w:firstLine="1540" w:firstLineChars="700"/>
        <w:rPr>
          <w:rFonts w:ascii="宋体" w:hAnsi="宋体" w:cs="宋体"/>
          <w:sz w:val="22"/>
          <w:szCs w:val="22"/>
        </w:rPr>
      </w:pPr>
      <w:r>
        <w:rPr>
          <w:rFonts w:hint="eastAsia" w:ascii="宋体" w:hAnsi="宋体" w:cs="宋体"/>
          <w:sz w:val="22"/>
          <w:szCs w:val="22"/>
        </w:rPr>
        <w:t>E</w:t>
      </w:r>
      <w:r>
        <w:rPr>
          <w:rFonts w:hint="eastAsia" w:ascii="宋体" w:hAnsi="宋体" w:cs="宋体"/>
          <w:sz w:val="22"/>
          <w:szCs w:val="22"/>
          <w:vertAlign w:val="subscript"/>
        </w:rPr>
        <w:t>3</w:t>
      </w:r>
      <w:r>
        <w:rPr>
          <w:rFonts w:hint="eastAsia" w:ascii="宋体" w:hAnsi="宋体" w:cs="宋体"/>
          <w:sz w:val="22"/>
          <w:szCs w:val="22"/>
        </w:rPr>
        <w:t>：前一日投资管理的企业年金基金财产净值（首日按照当日资产计提或首日不计提）；</w:t>
      </w:r>
    </w:p>
    <w:p w14:paraId="6F061DEF">
      <w:pPr>
        <w:spacing w:line="360" w:lineRule="auto"/>
        <w:ind w:firstLine="1540" w:firstLineChars="700"/>
        <w:rPr>
          <w:rFonts w:ascii="宋体" w:hAnsi="宋体" w:cs="宋体"/>
          <w:sz w:val="22"/>
          <w:szCs w:val="22"/>
        </w:rPr>
      </w:pPr>
      <w:bookmarkStart w:id="79" w:name="_Toc24601"/>
      <w:r>
        <w:rPr>
          <w:rFonts w:hint="eastAsia" w:ascii="宋体" w:hAnsi="宋体" w:cs="宋体"/>
          <w:sz w:val="22"/>
          <w:szCs w:val="22"/>
        </w:rPr>
        <w:t>U：本合同约定的投资管理费年费率。</w:t>
      </w:r>
      <w:bookmarkEnd w:id="79"/>
    </w:p>
    <w:p w14:paraId="4408D70B">
      <w:pPr>
        <w:spacing w:line="360" w:lineRule="auto"/>
        <w:ind w:firstLine="440" w:firstLineChars="200"/>
        <w:rPr>
          <w:rFonts w:ascii="宋体" w:hAnsi="宋体" w:cs="宋体"/>
          <w:sz w:val="22"/>
          <w:szCs w:val="22"/>
        </w:rPr>
      </w:pPr>
      <w:r>
        <w:rPr>
          <w:rFonts w:hint="eastAsia" w:ascii="宋体" w:hAnsi="宋体" w:cs="宋体"/>
          <w:sz w:val="22"/>
          <w:szCs w:val="22"/>
        </w:rPr>
        <w:t>10.2.4.1.3  投资管理费每日计提，逐日累计，按季支付。</w:t>
      </w:r>
    </w:p>
    <w:p w14:paraId="16B136B3">
      <w:pPr>
        <w:spacing w:line="360" w:lineRule="auto"/>
        <w:ind w:left="1106" w:leftChars="267" w:hanging="545" w:hangingChars="248"/>
        <w:rPr>
          <w:rFonts w:ascii="宋体" w:hAnsi="宋体" w:cs="宋体"/>
          <w:sz w:val="22"/>
          <w:szCs w:val="22"/>
        </w:rPr>
      </w:pPr>
      <w:r>
        <w:rPr>
          <w:rFonts w:hint="eastAsia" w:ascii="宋体" w:hAnsi="宋体" w:cs="宋体"/>
          <w:sz w:val="22"/>
          <w:szCs w:val="22"/>
        </w:rPr>
        <w:t>10.2.4.2  浮动管理费</w:t>
      </w:r>
    </w:p>
    <w:p w14:paraId="2C333D18">
      <w:pPr>
        <w:spacing w:line="360" w:lineRule="auto"/>
        <w:ind w:firstLine="440" w:firstLineChars="200"/>
        <w:rPr>
          <w:rFonts w:ascii="宋体" w:hAnsi="宋体" w:cs="宋体"/>
          <w:sz w:val="22"/>
          <w:szCs w:val="22"/>
        </w:rPr>
      </w:pPr>
      <w:r>
        <w:rPr>
          <w:rFonts w:hint="eastAsia" w:ascii="宋体" w:hAnsi="宋体" w:cs="宋体"/>
          <w:sz w:val="22"/>
          <w:szCs w:val="22"/>
        </w:rPr>
        <w:t>10.2.4.2.1  投资管理费为基本管理费加业绩报酬两部分。</w:t>
      </w:r>
    </w:p>
    <w:p w14:paraId="2966D367">
      <w:pPr>
        <w:spacing w:line="360" w:lineRule="auto"/>
        <w:ind w:firstLine="440" w:firstLineChars="200"/>
        <w:rPr>
          <w:rFonts w:ascii="宋体" w:hAnsi="宋体" w:cs="宋体"/>
          <w:sz w:val="22"/>
          <w:szCs w:val="22"/>
        </w:rPr>
      </w:pPr>
      <w:r>
        <w:rPr>
          <w:rFonts w:hint="eastAsia" w:ascii="宋体" w:hAnsi="宋体" w:cs="宋体"/>
          <w:sz w:val="22"/>
          <w:szCs w:val="22"/>
        </w:rPr>
        <w:t>10.2.4.2.2  基本管理费按投资管理的企业年金基金财产净值的</w:t>
      </w:r>
      <w:r>
        <w:rPr>
          <w:rFonts w:hint="eastAsia" w:ascii="宋体" w:hAnsi="宋体" w:cs="宋体"/>
          <w:sz w:val="22"/>
          <w:szCs w:val="22"/>
          <w:u w:val="single"/>
        </w:rPr>
        <w:t xml:space="preserve">    </w:t>
      </w:r>
      <w:r>
        <w:rPr>
          <w:rFonts w:hint="eastAsia" w:ascii="宋体" w:hAnsi="宋体" w:cs="宋体"/>
          <w:sz w:val="22"/>
          <w:szCs w:val="22"/>
        </w:rPr>
        <w:t>%年费率每日计提，逐日累计，按季支付。基本管理费计算方式如下：</w:t>
      </w:r>
    </w:p>
    <w:p w14:paraId="6FE2D8A4">
      <w:pPr>
        <w:spacing w:line="360" w:lineRule="auto"/>
        <w:ind w:firstLine="1540" w:firstLineChars="700"/>
        <w:rPr>
          <w:rFonts w:ascii="宋体" w:hAnsi="宋体" w:cs="宋体"/>
          <w:sz w:val="22"/>
          <w:szCs w:val="22"/>
        </w:rPr>
      </w:pPr>
      <w:r>
        <w:rPr>
          <w:rFonts w:hint="eastAsia" w:ascii="宋体" w:hAnsi="宋体" w:cs="宋体"/>
          <w:sz w:val="22"/>
          <w:szCs w:val="22"/>
        </w:rPr>
        <w:t>I=E</w:t>
      </w:r>
      <w:r>
        <w:rPr>
          <w:rFonts w:hint="eastAsia" w:ascii="宋体" w:hAnsi="宋体" w:cs="宋体"/>
          <w:sz w:val="22"/>
          <w:szCs w:val="22"/>
          <w:vertAlign w:val="subscript"/>
        </w:rPr>
        <w:t>3</w:t>
      </w:r>
      <w:r>
        <w:rPr>
          <w:rFonts w:hint="eastAsia" w:ascii="宋体" w:hAnsi="宋体" w:cs="宋体"/>
          <w:sz w:val="22"/>
          <w:szCs w:val="22"/>
        </w:rPr>
        <w:t>×U/当年实际天数</w:t>
      </w:r>
    </w:p>
    <w:p w14:paraId="733891B3">
      <w:pPr>
        <w:spacing w:line="360" w:lineRule="auto"/>
        <w:ind w:firstLine="1540" w:firstLineChars="700"/>
        <w:rPr>
          <w:rFonts w:ascii="宋体" w:hAnsi="宋体" w:cs="宋体"/>
          <w:sz w:val="22"/>
          <w:szCs w:val="22"/>
        </w:rPr>
      </w:pPr>
      <w:r>
        <w:rPr>
          <w:rFonts w:hint="eastAsia" w:ascii="宋体" w:hAnsi="宋体" w:cs="宋体"/>
          <w:sz w:val="22"/>
          <w:szCs w:val="22"/>
        </w:rPr>
        <w:t>I：每日应计提的基本管理费；</w:t>
      </w:r>
    </w:p>
    <w:p w14:paraId="10A3C66D">
      <w:pPr>
        <w:spacing w:line="360" w:lineRule="auto"/>
        <w:ind w:firstLine="1540" w:firstLineChars="700"/>
        <w:rPr>
          <w:rFonts w:ascii="宋体" w:hAnsi="宋体" w:cs="宋体"/>
          <w:sz w:val="22"/>
          <w:szCs w:val="22"/>
        </w:rPr>
      </w:pPr>
      <w:r>
        <w:rPr>
          <w:rFonts w:hint="eastAsia" w:ascii="宋体" w:hAnsi="宋体" w:cs="宋体"/>
          <w:sz w:val="22"/>
          <w:szCs w:val="22"/>
        </w:rPr>
        <w:t>E</w:t>
      </w:r>
      <w:r>
        <w:rPr>
          <w:rFonts w:hint="eastAsia" w:ascii="宋体" w:hAnsi="宋体" w:cs="宋体"/>
          <w:sz w:val="22"/>
          <w:szCs w:val="22"/>
          <w:vertAlign w:val="subscript"/>
        </w:rPr>
        <w:t>3</w:t>
      </w:r>
      <w:r>
        <w:rPr>
          <w:rFonts w:hint="eastAsia" w:ascii="宋体" w:hAnsi="宋体" w:cs="宋体"/>
          <w:sz w:val="22"/>
          <w:szCs w:val="22"/>
        </w:rPr>
        <w:t>：前一日投资管理的企业年金基金财产净值（首日按照当日资产计提或首日不计提）；</w:t>
      </w:r>
    </w:p>
    <w:p w14:paraId="58D40E2F">
      <w:pPr>
        <w:spacing w:line="360" w:lineRule="auto"/>
        <w:ind w:firstLine="1540" w:firstLineChars="700"/>
        <w:rPr>
          <w:rFonts w:ascii="宋体" w:hAnsi="宋体" w:cs="宋体"/>
          <w:sz w:val="22"/>
          <w:szCs w:val="22"/>
        </w:rPr>
      </w:pPr>
      <w:bookmarkStart w:id="80" w:name="_Toc17822"/>
      <w:r>
        <w:rPr>
          <w:rFonts w:hint="eastAsia" w:ascii="宋体" w:hAnsi="宋体" w:cs="宋体"/>
          <w:sz w:val="22"/>
          <w:szCs w:val="22"/>
        </w:rPr>
        <w:t>U：本合同约定的基本管理费年费率。</w:t>
      </w:r>
      <w:bookmarkEnd w:id="80"/>
    </w:p>
    <w:p w14:paraId="1F6E0D2D">
      <w:pPr>
        <w:spacing w:line="360" w:lineRule="auto"/>
        <w:ind w:firstLine="440" w:firstLineChars="200"/>
        <w:rPr>
          <w:rFonts w:ascii="宋体" w:hAnsi="宋体" w:cs="宋体"/>
          <w:sz w:val="22"/>
          <w:szCs w:val="22"/>
        </w:rPr>
      </w:pPr>
      <w:r>
        <w:rPr>
          <w:rFonts w:hint="eastAsia" w:ascii="宋体" w:hAnsi="宋体" w:cs="宋体"/>
          <w:sz w:val="22"/>
          <w:szCs w:val="22"/>
        </w:rPr>
        <w:t>10.2.4.2.3  业绩报酬按年计提，按年支付。每一会计年度如单个投资组合的委托投资资产期末资产净值超过按投资基准计算出的资产净值，对超过的部分提取业绩报酬，业绩报酬提取比例为</w:t>
      </w:r>
      <w:r>
        <w:rPr>
          <w:rFonts w:hint="eastAsia" w:ascii="宋体" w:hAnsi="宋体" w:cs="宋体"/>
          <w:sz w:val="22"/>
          <w:szCs w:val="22"/>
          <w:u w:val="single"/>
        </w:rPr>
        <w:t xml:space="preserve">    </w:t>
      </w:r>
      <w:r>
        <w:rPr>
          <w:rFonts w:hint="eastAsia" w:ascii="宋体" w:hAnsi="宋体" w:cs="宋体"/>
          <w:sz w:val="22"/>
          <w:szCs w:val="22"/>
        </w:rPr>
        <w:t>%，本协议约定的投资基准为</w:t>
      </w:r>
      <w:r>
        <w:rPr>
          <w:rFonts w:hint="eastAsia" w:ascii="宋体" w:hAnsi="宋体" w:cs="宋体"/>
          <w:sz w:val="22"/>
          <w:szCs w:val="22"/>
          <w:u w:val="single"/>
        </w:rPr>
        <w:t xml:space="preserve">     </w:t>
      </w:r>
      <w:r>
        <w:rPr>
          <w:rFonts w:hint="eastAsia" w:ascii="宋体" w:hAnsi="宋体" w:cs="宋体"/>
          <w:sz w:val="22"/>
          <w:szCs w:val="22"/>
        </w:rPr>
        <w:t>。业绩报酬的计算方法如下：</w:t>
      </w:r>
    </w:p>
    <w:p w14:paraId="512439F5">
      <w:pPr>
        <w:spacing w:line="360" w:lineRule="auto"/>
        <w:ind w:firstLine="1540" w:firstLineChars="700"/>
        <w:rPr>
          <w:rFonts w:ascii="宋体" w:hAnsi="宋体" w:cs="宋体"/>
          <w:sz w:val="22"/>
          <w:szCs w:val="22"/>
        </w:rPr>
      </w:pPr>
      <w:r>
        <w:rPr>
          <w:rFonts w:hint="eastAsia" w:ascii="宋体" w:hAnsi="宋体" w:cs="宋体"/>
          <w:sz w:val="22"/>
          <w:szCs w:val="22"/>
        </w:rPr>
        <w:t xml:space="preserve">业绩报酬 =  </w:t>
      </w:r>
      <w:r>
        <w:rPr>
          <w:rFonts w:hint="eastAsia" w:ascii="宋体" w:hAnsi="宋体" w:cs="宋体"/>
          <w:sz w:val="22"/>
          <w:szCs w:val="22"/>
        </w:rPr>
        <w:object>
          <v:shape id="_x0000_i1025" o:spt="75" type="#_x0000_t75" style="height:39pt;width:129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14:paraId="346D72D0">
      <w:pPr>
        <w:spacing w:line="360" w:lineRule="auto"/>
        <w:ind w:firstLine="1540" w:firstLineChars="700"/>
        <w:rPr>
          <w:rFonts w:ascii="宋体" w:hAnsi="宋体" w:cs="宋体"/>
          <w:sz w:val="22"/>
          <w:szCs w:val="22"/>
        </w:rPr>
      </w:pPr>
      <w:r>
        <w:rPr>
          <w:rFonts w:hint="eastAsia" w:ascii="宋体" w:hAnsi="宋体" w:cs="宋体"/>
          <w:sz w:val="22"/>
          <w:szCs w:val="22"/>
        </w:rPr>
        <w:t>A</w:t>
      </w:r>
      <w:r>
        <w:rPr>
          <w:rFonts w:hint="eastAsia" w:ascii="宋体" w:hAnsi="宋体" w:cs="宋体"/>
          <w:sz w:val="22"/>
          <w:szCs w:val="22"/>
          <w:vertAlign w:val="subscript"/>
        </w:rPr>
        <w:t>n</w:t>
      </w:r>
      <w:r>
        <w:rPr>
          <w:rFonts w:hint="eastAsia" w:ascii="宋体" w:hAnsi="宋体" w:cs="宋体"/>
          <w:sz w:val="22"/>
          <w:szCs w:val="22"/>
        </w:rPr>
        <w:t>为当年委托投资资产运作管理结束日委托投资资产净值；</w:t>
      </w:r>
    </w:p>
    <w:p w14:paraId="5495AE4A">
      <w:pPr>
        <w:spacing w:line="360" w:lineRule="auto"/>
        <w:ind w:firstLine="1540" w:firstLineChars="700"/>
        <w:rPr>
          <w:rFonts w:ascii="宋体" w:hAnsi="宋体" w:cs="宋体"/>
          <w:sz w:val="22"/>
          <w:szCs w:val="22"/>
        </w:rPr>
      </w:pPr>
      <w:r>
        <w:rPr>
          <w:rFonts w:hint="eastAsia" w:ascii="宋体" w:hAnsi="宋体" w:cs="宋体"/>
          <w:sz w:val="22"/>
          <w:szCs w:val="22"/>
        </w:rPr>
        <w:t>B</w:t>
      </w:r>
      <w:r>
        <w:rPr>
          <w:rFonts w:hint="eastAsia" w:ascii="宋体" w:hAnsi="宋体" w:cs="宋体"/>
          <w:sz w:val="22"/>
          <w:szCs w:val="22"/>
          <w:vertAlign w:val="subscript"/>
        </w:rPr>
        <w:t>n</w:t>
      </w:r>
      <w:r>
        <w:rPr>
          <w:rFonts w:hint="eastAsia" w:ascii="宋体" w:hAnsi="宋体" w:cs="宋体"/>
          <w:sz w:val="22"/>
          <w:szCs w:val="22"/>
        </w:rPr>
        <w:t>为当年末按投资基准计算的委托投资资产净值，其计算方法为：</w:t>
      </w:r>
    </w:p>
    <w:p w14:paraId="564AB3F5">
      <w:pPr>
        <w:spacing w:line="360" w:lineRule="auto"/>
        <w:ind w:firstLine="1540" w:firstLineChars="700"/>
        <w:rPr>
          <w:rFonts w:ascii="宋体" w:hAnsi="宋体" w:cs="宋体"/>
          <w:sz w:val="22"/>
          <w:szCs w:val="22"/>
        </w:rPr>
      </w:pPr>
      <w:r>
        <w:rPr>
          <w:rFonts w:hint="eastAsia" w:ascii="宋体" w:hAnsi="宋体" w:cs="宋体"/>
          <w:sz w:val="22"/>
          <w:szCs w:val="22"/>
        </w:rPr>
        <w:object>
          <v:shape id="_x0000_i1026" o:spt="75" type="#_x0000_t75" style="height:31.8pt;width:148.8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14:paraId="12CFC2EC">
      <w:pPr>
        <w:spacing w:line="360" w:lineRule="auto"/>
        <w:ind w:firstLine="1540" w:firstLineChars="700"/>
        <w:rPr>
          <w:rFonts w:ascii="宋体" w:hAnsi="宋体" w:cs="宋体"/>
          <w:sz w:val="22"/>
          <w:szCs w:val="22"/>
        </w:rPr>
      </w:pPr>
      <w:r>
        <w:rPr>
          <w:rFonts w:hint="eastAsia" w:ascii="宋体" w:hAnsi="宋体" w:cs="宋体"/>
          <w:sz w:val="22"/>
          <w:szCs w:val="22"/>
        </w:rPr>
        <w:t>Y为业绩报酬的提取比例；</w:t>
      </w:r>
    </w:p>
    <w:p w14:paraId="3DAECA57">
      <w:pPr>
        <w:spacing w:line="360" w:lineRule="auto"/>
        <w:ind w:firstLine="1540" w:firstLineChars="700"/>
        <w:rPr>
          <w:rFonts w:ascii="宋体" w:hAnsi="宋体" w:cs="宋体"/>
          <w:sz w:val="22"/>
          <w:szCs w:val="22"/>
        </w:rPr>
      </w:pPr>
      <w:r>
        <w:rPr>
          <w:rFonts w:hint="eastAsia" w:ascii="宋体" w:hAnsi="宋体" w:cs="宋体"/>
          <w:sz w:val="22"/>
          <w:szCs w:val="22"/>
        </w:rPr>
        <w:t>C</w:t>
      </w:r>
      <w:r>
        <w:rPr>
          <w:rFonts w:hint="eastAsia" w:ascii="宋体" w:hAnsi="宋体" w:cs="宋体"/>
          <w:sz w:val="22"/>
          <w:szCs w:val="22"/>
          <w:vertAlign w:val="subscript"/>
        </w:rPr>
        <w:t>0</w:t>
      </w:r>
      <w:r>
        <w:rPr>
          <w:rFonts w:hint="eastAsia" w:ascii="宋体" w:hAnsi="宋体" w:cs="宋体"/>
          <w:sz w:val="22"/>
          <w:szCs w:val="22"/>
        </w:rPr>
        <w:t>——当年年初委托投资资产净值，即当年划入投资组合托管账户的首笔资金净值或者上一年年末委托投资资产净值；</w:t>
      </w:r>
    </w:p>
    <w:p w14:paraId="3D7D8E86">
      <w:pPr>
        <w:spacing w:line="360" w:lineRule="auto"/>
        <w:ind w:firstLine="1540" w:firstLineChars="700"/>
        <w:rPr>
          <w:rFonts w:ascii="宋体" w:hAnsi="宋体" w:cs="宋体"/>
          <w:sz w:val="22"/>
          <w:szCs w:val="22"/>
        </w:rPr>
      </w:pPr>
      <w:r>
        <w:rPr>
          <w:rFonts w:hint="eastAsia" w:ascii="宋体" w:hAnsi="宋体" w:cs="宋体"/>
          <w:sz w:val="22"/>
          <w:szCs w:val="22"/>
        </w:rPr>
        <w:t>C</w:t>
      </w:r>
      <w:r>
        <w:rPr>
          <w:rFonts w:hint="eastAsia" w:ascii="宋体" w:hAnsi="宋体" w:cs="宋体"/>
          <w:sz w:val="22"/>
          <w:szCs w:val="22"/>
          <w:vertAlign w:val="subscript"/>
        </w:rPr>
        <w:t>t</w:t>
      </w:r>
      <w:r>
        <w:rPr>
          <w:rFonts w:hint="eastAsia" w:ascii="宋体" w:hAnsi="宋体" w:cs="宋体"/>
          <w:sz w:val="22"/>
          <w:szCs w:val="22"/>
        </w:rPr>
        <w:t>——第t笔现金流量净额（仅包括追加或减少委托投资资产额度所产生的现金流量，不包括基金运营的资金流动，追加委托投资资产时C</w:t>
      </w:r>
      <w:r>
        <w:rPr>
          <w:rFonts w:hint="eastAsia" w:ascii="宋体" w:hAnsi="宋体" w:cs="宋体"/>
          <w:sz w:val="22"/>
          <w:szCs w:val="22"/>
          <w:vertAlign w:val="subscript"/>
        </w:rPr>
        <w:t>t</w:t>
      </w:r>
      <w:r>
        <w:rPr>
          <w:rFonts w:hint="eastAsia" w:ascii="宋体" w:hAnsi="宋体" w:cs="宋体"/>
          <w:sz w:val="22"/>
          <w:szCs w:val="22"/>
        </w:rPr>
        <w:t>为正值，减少委托投资资产时C</w:t>
      </w:r>
      <w:r>
        <w:rPr>
          <w:rFonts w:hint="eastAsia" w:ascii="宋体" w:hAnsi="宋体" w:cs="宋体"/>
          <w:sz w:val="22"/>
          <w:szCs w:val="22"/>
          <w:vertAlign w:val="subscript"/>
        </w:rPr>
        <w:t>t</w:t>
      </w:r>
      <w:r>
        <w:rPr>
          <w:rFonts w:hint="eastAsia" w:ascii="宋体" w:hAnsi="宋体" w:cs="宋体"/>
          <w:sz w:val="22"/>
          <w:szCs w:val="22"/>
        </w:rPr>
        <w:t>为负值）；</w:t>
      </w:r>
    </w:p>
    <w:p w14:paraId="1B29C455">
      <w:pPr>
        <w:spacing w:line="360" w:lineRule="auto"/>
        <w:ind w:firstLine="1540" w:firstLineChars="700"/>
        <w:rPr>
          <w:rFonts w:ascii="宋体" w:hAnsi="宋体" w:cs="宋体"/>
          <w:sz w:val="22"/>
          <w:szCs w:val="22"/>
        </w:rPr>
      </w:pPr>
      <w:r>
        <w:rPr>
          <w:rFonts w:hint="eastAsia" w:ascii="宋体" w:hAnsi="宋体" w:cs="宋体"/>
          <w:sz w:val="22"/>
          <w:szCs w:val="22"/>
        </w:rPr>
        <w:t>D</w:t>
      </w:r>
      <w:r>
        <w:rPr>
          <w:rFonts w:hint="eastAsia" w:ascii="宋体" w:hAnsi="宋体" w:cs="宋体"/>
          <w:sz w:val="22"/>
          <w:szCs w:val="22"/>
          <w:vertAlign w:val="subscript"/>
        </w:rPr>
        <w:t>t</w:t>
      </w:r>
      <w:r>
        <w:rPr>
          <w:rFonts w:hint="eastAsia" w:ascii="宋体" w:hAnsi="宋体" w:cs="宋体"/>
          <w:sz w:val="22"/>
          <w:szCs w:val="22"/>
        </w:rPr>
        <w:t>——第t笔现金流发生日距离当年年末的自然天数（包括当年年末，但不包括第t笔现金流发生当日）；</w:t>
      </w:r>
    </w:p>
    <w:p w14:paraId="498BE67D">
      <w:pPr>
        <w:spacing w:line="360" w:lineRule="auto"/>
        <w:ind w:firstLine="1540" w:firstLineChars="700"/>
        <w:rPr>
          <w:rFonts w:ascii="宋体" w:hAnsi="宋体" w:cs="宋体"/>
          <w:sz w:val="22"/>
          <w:szCs w:val="22"/>
        </w:rPr>
      </w:pPr>
      <w:r>
        <w:rPr>
          <w:rFonts w:hint="eastAsia" w:ascii="宋体" w:hAnsi="宋体" w:cs="宋体"/>
          <w:sz w:val="22"/>
          <w:szCs w:val="22"/>
        </w:rPr>
        <w:object>
          <v:shape id="_x0000_i1027" o:spt="75" type="#_x0000_t75" style="height:18pt;width:16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hint="eastAsia" w:ascii="宋体" w:hAnsi="宋体" w:cs="宋体"/>
          <w:sz w:val="22"/>
          <w:szCs w:val="22"/>
        </w:rPr>
        <w:t>——第t笔现金流发生日后的第d日投资基准。</w:t>
      </w:r>
    </w:p>
    <w:p w14:paraId="60AE5ECD">
      <w:pPr>
        <w:spacing w:line="360" w:lineRule="auto"/>
        <w:ind w:firstLine="440" w:firstLineChars="200"/>
        <w:rPr>
          <w:rFonts w:ascii="宋体" w:hAnsi="宋体" w:cs="宋体"/>
          <w:sz w:val="22"/>
          <w:szCs w:val="22"/>
        </w:rPr>
      </w:pPr>
      <w:r>
        <w:rPr>
          <w:rFonts w:hint="eastAsia" w:ascii="宋体" w:hAnsi="宋体" w:cs="宋体"/>
          <w:sz w:val="22"/>
          <w:szCs w:val="22"/>
        </w:rPr>
        <w:t>10.2.5  企业年金基金投资运作的会计季度（成立当季或最后一季）为非完整会计季度，以当季的实际运作天数计提并支付受托管理费、托管费或投资管理费。</w:t>
      </w:r>
    </w:p>
    <w:p w14:paraId="017D69D4">
      <w:pPr>
        <w:spacing w:line="360" w:lineRule="auto"/>
        <w:ind w:firstLine="440" w:firstLineChars="200"/>
        <w:rPr>
          <w:rFonts w:ascii="宋体" w:hAnsi="宋体" w:cs="宋体"/>
          <w:sz w:val="22"/>
          <w:szCs w:val="22"/>
        </w:rPr>
      </w:pPr>
      <w:r>
        <w:rPr>
          <w:rFonts w:hint="eastAsia" w:ascii="宋体" w:hAnsi="宋体" w:cs="宋体"/>
          <w:sz w:val="22"/>
          <w:szCs w:val="22"/>
        </w:rPr>
        <w:t>10.2.6  除委托人支付的账户管理费外，第10.1款所列各项企业年金基金费用均在企业年金基金财产中列支。</w:t>
      </w:r>
    </w:p>
    <w:p w14:paraId="60FC58F8">
      <w:pPr>
        <w:spacing w:line="360" w:lineRule="auto"/>
        <w:ind w:firstLine="440" w:firstLineChars="200"/>
        <w:rPr>
          <w:rFonts w:ascii="宋体" w:hAnsi="宋体" w:cs="宋体"/>
          <w:sz w:val="22"/>
          <w:szCs w:val="22"/>
        </w:rPr>
      </w:pPr>
      <w:r>
        <w:rPr>
          <w:rFonts w:hint="eastAsia" w:ascii="宋体" w:hAnsi="宋体" w:cs="宋体"/>
          <w:sz w:val="22"/>
          <w:szCs w:val="22"/>
        </w:rPr>
        <w:t>10.2.7  本合同约定的各项管理费用不得超过《企业年金基金管理办法》规定的上限，不得低于《企业年金管理机构行业自律公约》约定的下限。</w:t>
      </w:r>
    </w:p>
    <w:p w14:paraId="349CF056">
      <w:pPr>
        <w:spacing w:line="360" w:lineRule="auto"/>
        <w:jc w:val="center"/>
        <w:rPr>
          <w:rFonts w:ascii="宋体" w:hAnsi="宋体" w:cs="宋体"/>
          <w:sz w:val="22"/>
          <w:szCs w:val="22"/>
        </w:rPr>
      </w:pPr>
      <w:bookmarkStart w:id="81" w:name="_Toc311040996"/>
      <w:bookmarkStart w:id="82" w:name="_Toc5363"/>
      <w:bookmarkStart w:id="83" w:name="_Toc319932549"/>
      <w:r>
        <w:rPr>
          <w:rFonts w:hint="eastAsia" w:ascii="宋体" w:hAnsi="宋体" w:cs="宋体"/>
          <w:sz w:val="22"/>
          <w:szCs w:val="22"/>
        </w:rPr>
        <w:t>第十一章  企业年金基金的审计</w:t>
      </w:r>
      <w:bookmarkEnd w:id="81"/>
      <w:r>
        <w:rPr>
          <w:rFonts w:hint="eastAsia" w:ascii="宋体" w:hAnsi="宋体" w:cs="宋体"/>
          <w:sz w:val="22"/>
          <w:szCs w:val="22"/>
        </w:rPr>
        <w:t>与清算</w:t>
      </w:r>
      <w:bookmarkEnd w:id="82"/>
      <w:bookmarkEnd w:id="83"/>
    </w:p>
    <w:p w14:paraId="6C32DC20">
      <w:pPr>
        <w:spacing w:line="360" w:lineRule="auto"/>
        <w:ind w:firstLine="440" w:firstLineChars="200"/>
        <w:rPr>
          <w:rFonts w:ascii="宋体" w:hAnsi="宋体" w:cs="宋体"/>
          <w:sz w:val="22"/>
          <w:szCs w:val="22"/>
        </w:rPr>
      </w:pPr>
      <w:bookmarkStart w:id="84" w:name="_Toc12152"/>
      <w:r>
        <w:rPr>
          <w:rFonts w:hint="eastAsia" w:ascii="宋体" w:hAnsi="宋体" w:cs="宋体"/>
          <w:sz w:val="22"/>
          <w:szCs w:val="22"/>
        </w:rPr>
        <w:t>11.1  企业年金基金审计。</w:t>
      </w:r>
      <w:bookmarkEnd w:id="84"/>
    </w:p>
    <w:p w14:paraId="1A1F0CE7">
      <w:pPr>
        <w:spacing w:line="360" w:lineRule="auto"/>
        <w:ind w:firstLine="440" w:firstLineChars="200"/>
        <w:rPr>
          <w:rFonts w:ascii="宋体" w:hAnsi="宋体" w:cs="宋体"/>
          <w:sz w:val="22"/>
          <w:szCs w:val="22"/>
        </w:rPr>
      </w:pPr>
      <w:r>
        <w:rPr>
          <w:rFonts w:hint="eastAsia" w:ascii="宋体" w:hAnsi="宋体" w:cs="宋体"/>
          <w:sz w:val="22"/>
          <w:szCs w:val="22"/>
        </w:rPr>
        <w:t>11.1.1  发生以下情形之一的，受托人应当聘请会计师事务所对企业年金计划进行审计：</w:t>
      </w:r>
    </w:p>
    <w:p w14:paraId="3BFE61A3">
      <w:pPr>
        <w:spacing w:line="360" w:lineRule="auto"/>
        <w:ind w:firstLine="440" w:firstLineChars="200"/>
        <w:rPr>
          <w:rFonts w:ascii="宋体" w:hAnsi="宋体" w:cs="宋体"/>
          <w:sz w:val="22"/>
          <w:szCs w:val="22"/>
        </w:rPr>
      </w:pPr>
      <w:r>
        <w:rPr>
          <w:rFonts w:hint="eastAsia" w:ascii="宋体" w:hAnsi="宋体" w:cs="宋体"/>
          <w:sz w:val="22"/>
          <w:szCs w:val="22"/>
        </w:rPr>
        <w:t>11.1.1.1  企业年金计划连续运作满三个会计年度；</w:t>
      </w:r>
    </w:p>
    <w:p w14:paraId="1DB7E754">
      <w:pPr>
        <w:spacing w:line="360" w:lineRule="auto"/>
        <w:ind w:firstLine="440" w:firstLineChars="200"/>
        <w:rPr>
          <w:rFonts w:ascii="宋体" w:hAnsi="宋体" w:cs="宋体"/>
          <w:sz w:val="22"/>
          <w:szCs w:val="22"/>
        </w:rPr>
      </w:pPr>
      <w:r>
        <w:rPr>
          <w:rFonts w:hint="eastAsia" w:ascii="宋体" w:hAnsi="宋体" w:cs="宋体"/>
          <w:sz w:val="22"/>
          <w:szCs w:val="22"/>
        </w:rPr>
        <w:t>11.1.1.2  受托人、账户管理人、托管人或投资管理人职责终止；</w:t>
      </w:r>
    </w:p>
    <w:p w14:paraId="49224330">
      <w:pPr>
        <w:spacing w:line="360" w:lineRule="auto"/>
        <w:ind w:firstLine="440" w:firstLineChars="200"/>
        <w:rPr>
          <w:rFonts w:ascii="宋体" w:hAnsi="宋体" w:cs="宋体"/>
          <w:sz w:val="22"/>
          <w:szCs w:val="22"/>
        </w:rPr>
      </w:pPr>
      <w:r>
        <w:rPr>
          <w:rFonts w:hint="eastAsia" w:ascii="宋体" w:hAnsi="宋体" w:cs="宋体"/>
          <w:sz w:val="22"/>
          <w:szCs w:val="22"/>
        </w:rPr>
        <w:t>11.1.1.3  法律法规规定的其他情形。</w:t>
      </w:r>
    </w:p>
    <w:p w14:paraId="25518DEC">
      <w:pPr>
        <w:spacing w:line="360" w:lineRule="auto"/>
        <w:ind w:firstLine="440" w:firstLineChars="200"/>
        <w:rPr>
          <w:rFonts w:ascii="宋体" w:hAnsi="宋体" w:cs="宋体"/>
          <w:sz w:val="22"/>
          <w:szCs w:val="22"/>
        </w:rPr>
      </w:pPr>
      <w:r>
        <w:rPr>
          <w:rFonts w:hint="eastAsia" w:ascii="宋体" w:hAnsi="宋体" w:cs="宋体"/>
          <w:sz w:val="22"/>
          <w:szCs w:val="22"/>
        </w:rPr>
        <w:t>11.1.2  受托人聘请与委托人、受托人、账户管理人、托管人或投资管理人非关联方的会计师事务所和注册会计师对企业年金基金进行审计，账户管理人、托管人、投资管理人应当配合会计师事务所对企业年金计划进行审计。</w:t>
      </w:r>
    </w:p>
    <w:p w14:paraId="6398AD17">
      <w:pPr>
        <w:spacing w:line="360" w:lineRule="auto"/>
        <w:ind w:firstLine="440" w:firstLineChars="200"/>
        <w:rPr>
          <w:rFonts w:ascii="宋体" w:hAnsi="宋体" w:cs="宋体"/>
          <w:sz w:val="22"/>
          <w:szCs w:val="22"/>
        </w:rPr>
      </w:pPr>
      <w:r>
        <w:rPr>
          <w:rFonts w:hint="eastAsia" w:ascii="宋体" w:hAnsi="宋体" w:cs="宋体"/>
          <w:sz w:val="22"/>
          <w:szCs w:val="22"/>
        </w:rPr>
        <w:t>11.1.3  受托人自第11.1.1款情况发生之日起50日内向委托人以及人力资源社会保障行政部门提交审计报告。</w:t>
      </w:r>
    </w:p>
    <w:p w14:paraId="687F9600">
      <w:pPr>
        <w:spacing w:line="360" w:lineRule="auto"/>
        <w:ind w:firstLine="440" w:firstLineChars="200"/>
        <w:rPr>
          <w:rFonts w:ascii="宋体" w:hAnsi="宋体" w:cs="宋体"/>
          <w:sz w:val="22"/>
          <w:szCs w:val="22"/>
        </w:rPr>
      </w:pPr>
      <w:bookmarkStart w:id="85" w:name="_Toc28111"/>
      <w:r>
        <w:rPr>
          <w:rFonts w:hint="eastAsia" w:ascii="宋体" w:hAnsi="宋体" w:cs="宋体"/>
          <w:sz w:val="22"/>
          <w:szCs w:val="22"/>
        </w:rPr>
        <w:t>11.2  企业年金基金清算。</w:t>
      </w:r>
      <w:bookmarkEnd w:id="85"/>
    </w:p>
    <w:p w14:paraId="52B99A39">
      <w:pPr>
        <w:spacing w:line="360" w:lineRule="auto"/>
        <w:ind w:firstLine="440" w:firstLineChars="200"/>
        <w:rPr>
          <w:rFonts w:ascii="宋体" w:hAnsi="宋体" w:cs="宋体"/>
          <w:sz w:val="22"/>
          <w:szCs w:val="22"/>
        </w:rPr>
      </w:pPr>
      <w:r>
        <w:rPr>
          <w:rFonts w:hint="eastAsia" w:ascii="宋体" w:hAnsi="宋体" w:cs="宋体"/>
          <w:sz w:val="22"/>
          <w:szCs w:val="22"/>
        </w:rPr>
        <w:t>11.2.1企业年金计划终止的，受托人应当按照有关规定组织清算组对企业年金基金财产进行清算，自清算工作完成后3个月内，向人力资源社会保障行政部门及委托人提交经会计师事务所审计以及律师事务所出具法律意见书的清算报告，并向受益人公告。</w:t>
      </w:r>
    </w:p>
    <w:p w14:paraId="345F7D2C">
      <w:pPr>
        <w:spacing w:line="360" w:lineRule="auto"/>
        <w:jc w:val="center"/>
        <w:rPr>
          <w:rFonts w:ascii="宋体" w:hAnsi="宋体" w:cs="宋体"/>
          <w:sz w:val="22"/>
          <w:szCs w:val="22"/>
        </w:rPr>
      </w:pPr>
      <w:bookmarkStart w:id="86" w:name="_Toc21189"/>
      <w:bookmarkStart w:id="87" w:name="_Toc196484085"/>
      <w:bookmarkStart w:id="88" w:name="_Toc319932550"/>
      <w:bookmarkStart w:id="89" w:name="_Toc311040997"/>
      <w:r>
        <w:rPr>
          <w:rFonts w:hint="eastAsia" w:ascii="宋体" w:hAnsi="宋体" w:cs="宋体"/>
          <w:sz w:val="22"/>
          <w:szCs w:val="22"/>
        </w:rPr>
        <w:t>第十二章  企业年金基金的信息报告与披露</w:t>
      </w:r>
      <w:bookmarkEnd w:id="86"/>
      <w:bookmarkEnd w:id="87"/>
      <w:bookmarkEnd w:id="88"/>
      <w:bookmarkEnd w:id="89"/>
    </w:p>
    <w:p w14:paraId="30D23919">
      <w:pPr>
        <w:spacing w:line="360" w:lineRule="auto"/>
        <w:ind w:firstLine="440" w:firstLineChars="200"/>
        <w:rPr>
          <w:rFonts w:ascii="宋体" w:hAnsi="宋体" w:cs="宋体"/>
          <w:sz w:val="22"/>
          <w:szCs w:val="22"/>
        </w:rPr>
      </w:pPr>
      <w:bookmarkStart w:id="90" w:name="_Toc9952"/>
      <w:r>
        <w:rPr>
          <w:rFonts w:hint="eastAsia" w:ascii="宋体" w:hAnsi="宋体" w:cs="宋体"/>
          <w:sz w:val="22"/>
          <w:szCs w:val="22"/>
        </w:rPr>
        <w:t>12.1  定期报告。</w:t>
      </w:r>
      <w:bookmarkEnd w:id="90"/>
    </w:p>
    <w:p w14:paraId="3D5F6E5A">
      <w:pPr>
        <w:spacing w:line="360" w:lineRule="auto"/>
        <w:ind w:firstLine="440" w:firstLineChars="200"/>
        <w:rPr>
          <w:rFonts w:ascii="宋体" w:hAnsi="宋体" w:cs="宋体"/>
          <w:sz w:val="22"/>
          <w:szCs w:val="22"/>
        </w:rPr>
      </w:pPr>
      <w:r>
        <w:rPr>
          <w:rFonts w:hint="eastAsia" w:ascii="宋体" w:hAnsi="宋体" w:cs="宋体"/>
          <w:sz w:val="22"/>
          <w:szCs w:val="22"/>
        </w:rPr>
        <w:t>12.1.1  受托管理定期报告：受托人应在每季度结束后30日内向委托人提交企业年金基金管理季度报告；并应当在每年度结束后60日内向委托人提交企业年金基金管理年度报告。报告内容及格式以人力资源社会保障部规定为准。自企业年金计划首笔缴费进入受托财产托管账户之日起不满3个月的，受托人可不提供企业年金基金管理季度报告和企业年金基金管理年度报告。</w:t>
      </w:r>
    </w:p>
    <w:p w14:paraId="593E5050">
      <w:pPr>
        <w:spacing w:line="360" w:lineRule="auto"/>
        <w:ind w:firstLine="440" w:firstLineChars="200"/>
        <w:rPr>
          <w:rFonts w:ascii="宋体" w:hAnsi="宋体" w:cs="宋体"/>
          <w:sz w:val="22"/>
          <w:szCs w:val="22"/>
        </w:rPr>
      </w:pPr>
      <w:r>
        <w:rPr>
          <w:rFonts w:hint="eastAsia" w:ascii="宋体" w:hAnsi="宋体" w:cs="宋体"/>
          <w:sz w:val="22"/>
          <w:szCs w:val="22"/>
        </w:rPr>
        <w:t>12.1.2  企业年金计划受益人年度权益报告：受托人要求账户管理人在年度结束后60日内向受益人提交企业年金权益年度报告。报告内容及格式以人力资源社会保障部规定为准。</w:t>
      </w:r>
    </w:p>
    <w:p w14:paraId="34345CBC">
      <w:pPr>
        <w:spacing w:line="360" w:lineRule="auto"/>
        <w:ind w:firstLine="440" w:firstLineChars="200"/>
        <w:rPr>
          <w:rFonts w:ascii="宋体" w:hAnsi="宋体" w:cs="宋体"/>
          <w:sz w:val="22"/>
          <w:szCs w:val="22"/>
        </w:rPr>
      </w:pPr>
      <w:bookmarkStart w:id="91" w:name="_Toc14538"/>
      <w:r>
        <w:rPr>
          <w:rFonts w:hint="eastAsia" w:ascii="宋体" w:hAnsi="宋体" w:cs="宋体"/>
          <w:sz w:val="22"/>
          <w:szCs w:val="22"/>
        </w:rPr>
        <w:t>12.2  临时报告。</w:t>
      </w:r>
      <w:bookmarkEnd w:id="91"/>
    </w:p>
    <w:p w14:paraId="23F5ADD9">
      <w:pPr>
        <w:spacing w:line="360" w:lineRule="auto"/>
        <w:ind w:firstLine="440" w:firstLineChars="200"/>
        <w:rPr>
          <w:rFonts w:ascii="宋体" w:hAnsi="宋体" w:cs="宋体"/>
          <w:sz w:val="22"/>
          <w:szCs w:val="22"/>
        </w:rPr>
      </w:pPr>
      <w:r>
        <w:rPr>
          <w:rFonts w:hint="eastAsia" w:ascii="宋体" w:hAnsi="宋体" w:cs="宋体"/>
          <w:sz w:val="22"/>
          <w:szCs w:val="22"/>
        </w:rPr>
        <w:t>受托人在履行本合同过程中，如遇法律法规规定的临时报告事项，应当及时向有关监管部门报告，并自知晓或者应当知晓该事件发生之日起5个工作日内向委托人报告。</w:t>
      </w:r>
    </w:p>
    <w:p w14:paraId="78A896CD">
      <w:pPr>
        <w:spacing w:line="360" w:lineRule="auto"/>
        <w:ind w:firstLine="440" w:firstLineChars="200"/>
        <w:rPr>
          <w:rFonts w:ascii="宋体" w:hAnsi="宋体" w:cs="宋体"/>
          <w:sz w:val="22"/>
          <w:szCs w:val="22"/>
        </w:rPr>
      </w:pPr>
      <w:bookmarkStart w:id="92" w:name="_Toc21192"/>
      <w:r>
        <w:rPr>
          <w:rFonts w:hint="eastAsia" w:ascii="宋体" w:hAnsi="宋体" w:cs="宋体"/>
          <w:sz w:val="22"/>
          <w:szCs w:val="22"/>
        </w:rPr>
        <w:t>12.3  职责终止报告。</w:t>
      </w:r>
      <w:bookmarkEnd w:id="92"/>
    </w:p>
    <w:p w14:paraId="5C779EE7">
      <w:pPr>
        <w:spacing w:line="360" w:lineRule="auto"/>
        <w:ind w:firstLine="440" w:firstLineChars="200"/>
        <w:rPr>
          <w:rFonts w:ascii="宋体" w:hAnsi="宋体" w:cs="宋体"/>
          <w:sz w:val="22"/>
          <w:szCs w:val="22"/>
        </w:rPr>
      </w:pPr>
      <w:r>
        <w:rPr>
          <w:rFonts w:hint="eastAsia" w:ascii="宋体" w:hAnsi="宋体" w:cs="宋体"/>
          <w:sz w:val="22"/>
          <w:szCs w:val="22"/>
        </w:rPr>
        <w:t>受托人、账户管理人、托管人或投资管理人职责终止的，受托人自管理职责终止后50日内向委托人提交企业年金管理情况报告，报告应当说明职责终止原因、未尽事项及处理建议等。</w:t>
      </w:r>
    </w:p>
    <w:p w14:paraId="61D115DB">
      <w:pPr>
        <w:spacing w:line="360" w:lineRule="auto"/>
        <w:ind w:firstLine="440" w:firstLineChars="200"/>
        <w:rPr>
          <w:rFonts w:ascii="宋体" w:hAnsi="宋体" w:cs="宋体"/>
          <w:sz w:val="22"/>
          <w:szCs w:val="22"/>
        </w:rPr>
      </w:pPr>
      <w:bookmarkStart w:id="93" w:name="_Toc26184"/>
      <w:r>
        <w:rPr>
          <w:rFonts w:hint="eastAsia" w:ascii="宋体" w:hAnsi="宋体" w:cs="宋体"/>
          <w:sz w:val="22"/>
          <w:szCs w:val="22"/>
        </w:rPr>
        <w:t>12.4  信息披露方式。</w:t>
      </w:r>
      <w:bookmarkEnd w:id="93"/>
    </w:p>
    <w:p w14:paraId="01B67E88">
      <w:pPr>
        <w:spacing w:line="360" w:lineRule="auto"/>
        <w:ind w:firstLine="440" w:firstLineChars="200"/>
        <w:rPr>
          <w:rFonts w:ascii="宋体" w:hAnsi="宋体" w:cs="宋体"/>
          <w:sz w:val="22"/>
          <w:szCs w:val="22"/>
        </w:rPr>
      </w:pPr>
      <w:r>
        <w:rPr>
          <w:rFonts w:hint="eastAsia" w:ascii="宋体" w:hAnsi="宋体" w:cs="宋体"/>
          <w:sz w:val="22"/>
          <w:szCs w:val="22"/>
        </w:rPr>
        <w:t>12.4.1  信息报告与披露采取纸质文本或电子文本的方式。</w:t>
      </w:r>
    </w:p>
    <w:p w14:paraId="240B1C1C">
      <w:pPr>
        <w:spacing w:line="360" w:lineRule="auto"/>
        <w:ind w:firstLine="440" w:firstLineChars="200"/>
        <w:rPr>
          <w:rFonts w:ascii="宋体" w:hAnsi="宋体" w:cs="宋体"/>
          <w:sz w:val="22"/>
          <w:szCs w:val="22"/>
        </w:rPr>
      </w:pPr>
      <w:r>
        <w:rPr>
          <w:rFonts w:hint="eastAsia" w:ascii="宋体" w:hAnsi="宋体" w:cs="宋体"/>
          <w:sz w:val="22"/>
          <w:szCs w:val="22"/>
        </w:rPr>
        <w:t>12.4.2  受托人或账户管理人应当同时向委托人及受益人提供互联网或电话查询服务。</w:t>
      </w:r>
    </w:p>
    <w:p w14:paraId="051E12D1">
      <w:pPr>
        <w:spacing w:line="360" w:lineRule="auto"/>
        <w:jc w:val="center"/>
        <w:rPr>
          <w:rFonts w:ascii="宋体" w:hAnsi="宋体" w:cs="宋体"/>
          <w:sz w:val="22"/>
          <w:szCs w:val="22"/>
        </w:rPr>
      </w:pPr>
      <w:bookmarkStart w:id="94" w:name="_Toc21832"/>
      <w:bookmarkStart w:id="95" w:name="_Toc311040998"/>
      <w:bookmarkStart w:id="96" w:name="_Toc319932551"/>
      <w:r>
        <w:rPr>
          <w:rFonts w:hint="eastAsia" w:ascii="宋体" w:hAnsi="宋体" w:cs="宋体"/>
          <w:sz w:val="22"/>
          <w:szCs w:val="22"/>
        </w:rPr>
        <w:t>第十三章  禁止行为</w:t>
      </w:r>
      <w:bookmarkEnd w:id="94"/>
      <w:bookmarkEnd w:id="95"/>
      <w:bookmarkEnd w:id="96"/>
    </w:p>
    <w:p w14:paraId="3EDC761C">
      <w:pPr>
        <w:spacing w:line="360" w:lineRule="auto"/>
        <w:ind w:firstLine="440" w:firstLineChars="200"/>
        <w:rPr>
          <w:rFonts w:ascii="宋体" w:hAnsi="宋体" w:cs="宋体"/>
          <w:sz w:val="22"/>
          <w:szCs w:val="22"/>
        </w:rPr>
      </w:pPr>
      <w:r>
        <w:rPr>
          <w:rFonts w:hint="eastAsia" w:ascii="宋体" w:hAnsi="宋体" w:cs="宋体"/>
          <w:sz w:val="22"/>
          <w:szCs w:val="22"/>
        </w:rPr>
        <w:t>本合同当事人禁止从事的行为，包括但不限于：</w:t>
      </w:r>
    </w:p>
    <w:p w14:paraId="7ADFD51D">
      <w:pPr>
        <w:spacing w:line="360" w:lineRule="auto"/>
        <w:ind w:firstLine="440" w:firstLineChars="200"/>
        <w:rPr>
          <w:rFonts w:ascii="宋体" w:hAnsi="宋体" w:cs="宋体"/>
          <w:sz w:val="22"/>
          <w:szCs w:val="22"/>
        </w:rPr>
      </w:pPr>
      <w:r>
        <w:rPr>
          <w:rFonts w:hint="eastAsia" w:ascii="宋体" w:hAnsi="宋体" w:cs="宋体"/>
          <w:sz w:val="22"/>
          <w:szCs w:val="22"/>
        </w:rPr>
        <w:t>13.1  甲方违反企业年金方案规定缴费；</w:t>
      </w:r>
    </w:p>
    <w:p w14:paraId="3EC2693C">
      <w:pPr>
        <w:spacing w:line="360" w:lineRule="auto"/>
        <w:ind w:firstLine="440" w:firstLineChars="200"/>
        <w:rPr>
          <w:rFonts w:ascii="宋体" w:hAnsi="宋体" w:cs="宋体"/>
          <w:sz w:val="22"/>
          <w:szCs w:val="22"/>
        </w:rPr>
      </w:pPr>
      <w:r>
        <w:rPr>
          <w:rFonts w:hint="eastAsia" w:ascii="宋体" w:hAnsi="宋体" w:cs="宋体"/>
          <w:sz w:val="22"/>
          <w:szCs w:val="22"/>
        </w:rPr>
        <w:t>13.2  甲方或乙方提供虚假信息；</w:t>
      </w:r>
    </w:p>
    <w:p w14:paraId="5E62C47C">
      <w:pPr>
        <w:spacing w:line="360" w:lineRule="auto"/>
        <w:ind w:firstLine="440" w:firstLineChars="200"/>
        <w:rPr>
          <w:rFonts w:ascii="宋体" w:hAnsi="宋体" w:cs="宋体"/>
          <w:sz w:val="22"/>
          <w:szCs w:val="22"/>
        </w:rPr>
      </w:pPr>
      <w:r>
        <w:rPr>
          <w:rFonts w:hint="eastAsia" w:ascii="宋体" w:hAnsi="宋体" w:cs="宋体"/>
          <w:sz w:val="22"/>
          <w:szCs w:val="22"/>
        </w:rPr>
        <w:t>13.3  甲方或乙方侵占、挪用企业年金基金财产；</w:t>
      </w:r>
    </w:p>
    <w:p w14:paraId="6982254A">
      <w:pPr>
        <w:spacing w:line="360" w:lineRule="auto"/>
        <w:ind w:firstLine="440" w:firstLineChars="200"/>
        <w:rPr>
          <w:rFonts w:ascii="宋体" w:hAnsi="宋体" w:cs="宋体"/>
          <w:sz w:val="22"/>
          <w:szCs w:val="22"/>
        </w:rPr>
      </w:pPr>
      <w:r>
        <w:rPr>
          <w:rFonts w:hint="eastAsia" w:ascii="宋体" w:hAnsi="宋体" w:cs="宋体"/>
          <w:sz w:val="22"/>
          <w:szCs w:val="22"/>
        </w:rPr>
        <w:t>13.4  甲方或乙方利用企业年金基金财产为本公司或他人谋求不正当利益；</w:t>
      </w:r>
    </w:p>
    <w:p w14:paraId="5A4D8EEF">
      <w:pPr>
        <w:spacing w:line="360" w:lineRule="auto"/>
        <w:ind w:firstLine="440" w:firstLineChars="200"/>
        <w:rPr>
          <w:rFonts w:ascii="宋体" w:hAnsi="宋体" w:cs="宋体"/>
          <w:sz w:val="22"/>
          <w:szCs w:val="22"/>
        </w:rPr>
      </w:pPr>
      <w:r>
        <w:rPr>
          <w:rFonts w:hint="eastAsia" w:ascii="宋体" w:hAnsi="宋体" w:cs="宋体"/>
          <w:sz w:val="22"/>
          <w:szCs w:val="22"/>
        </w:rPr>
        <w:t>13.5  乙方管理企业年金基金财产产生的债权债务与其固有财产产生的债权债务相抵销；</w:t>
      </w:r>
    </w:p>
    <w:p w14:paraId="4A5B420D">
      <w:pPr>
        <w:spacing w:line="360" w:lineRule="auto"/>
        <w:ind w:firstLine="440" w:firstLineChars="200"/>
        <w:rPr>
          <w:rFonts w:ascii="宋体" w:hAnsi="宋体" w:cs="宋体"/>
          <w:sz w:val="22"/>
          <w:szCs w:val="22"/>
        </w:rPr>
      </w:pPr>
      <w:r>
        <w:rPr>
          <w:rFonts w:hint="eastAsia" w:ascii="宋体" w:hAnsi="宋体" w:cs="宋体"/>
          <w:sz w:val="22"/>
          <w:szCs w:val="22"/>
        </w:rPr>
        <w:t>13.6  乙方管理不同企业年金计划的企业年金基金财产产生的债权债务相抵销；</w:t>
      </w:r>
    </w:p>
    <w:p w14:paraId="6A8FFE46">
      <w:pPr>
        <w:spacing w:line="360" w:lineRule="auto"/>
        <w:ind w:firstLine="440" w:firstLineChars="200"/>
        <w:rPr>
          <w:rFonts w:ascii="宋体" w:hAnsi="宋体" w:cs="宋体"/>
          <w:sz w:val="22"/>
          <w:szCs w:val="22"/>
        </w:rPr>
      </w:pPr>
      <w:r>
        <w:rPr>
          <w:rFonts w:hint="eastAsia" w:ascii="宋体" w:hAnsi="宋体" w:cs="宋体"/>
          <w:sz w:val="22"/>
          <w:szCs w:val="22"/>
        </w:rPr>
        <w:t>13.7  乙方不公平地对待其管理的不同企业年金计划的企业年金基金财产；</w:t>
      </w:r>
    </w:p>
    <w:p w14:paraId="1C4AC226">
      <w:pPr>
        <w:spacing w:line="360" w:lineRule="auto"/>
        <w:ind w:firstLine="440" w:firstLineChars="200"/>
        <w:rPr>
          <w:rFonts w:ascii="宋体" w:hAnsi="宋体" w:cs="宋体"/>
          <w:sz w:val="22"/>
          <w:szCs w:val="22"/>
        </w:rPr>
      </w:pPr>
      <w:r>
        <w:rPr>
          <w:rFonts w:hint="eastAsia" w:ascii="宋体" w:hAnsi="宋体" w:cs="宋体"/>
          <w:sz w:val="22"/>
          <w:szCs w:val="22"/>
        </w:rPr>
        <w:t>13.8  乙方将其固有财产或他人财产混同于企业年金基金财产进行投资；</w:t>
      </w:r>
    </w:p>
    <w:p w14:paraId="1BF0482B">
      <w:pPr>
        <w:spacing w:line="360" w:lineRule="auto"/>
        <w:ind w:firstLine="440" w:firstLineChars="200"/>
        <w:rPr>
          <w:rFonts w:ascii="宋体" w:hAnsi="宋体" w:cs="宋体"/>
          <w:sz w:val="22"/>
          <w:szCs w:val="22"/>
        </w:rPr>
      </w:pPr>
      <w:r>
        <w:rPr>
          <w:rFonts w:hint="eastAsia" w:ascii="宋体" w:hAnsi="宋体" w:cs="宋体"/>
          <w:sz w:val="22"/>
          <w:szCs w:val="22"/>
        </w:rPr>
        <w:t xml:space="preserve">13.9  </w:t>
      </w:r>
      <w:bookmarkStart w:id="97" w:name="_Toc196484087"/>
      <w:r>
        <w:rPr>
          <w:rFonts w:hint="eastAsia" w:ascii="宋体" w:hAnsi="宋体" w:cs="宋体"/>
          <w:sz w:val="22"/>
          <w:szCs w:val="22"/>
        </w:rPr>
        <w:t>法律法规规定及本合同约定禁止的其他行为。</w:t>
      </w:r>
    </w:p>
    <w:p w14:paraId="68D921A8">
      <w:pPr>
        <w:spacing w:line="360" w:lineRule="auto"/>
        <w:jc w:val="center"/>
        <w:rPr>
          <w:rFonts w:ascii="宋体" w:hAnsi="宋体" w:cs="宋体"/>
          <w:sz w:val="22"/>
          <w:szCs w:val="22"/>
        </w:rPr>
      </w:pPr>
      <w:bookmarkStart w:id="98" w:name="_Toc25081"/>
      <w:bookmarkStart w:id="99" w:name="_Toc311040999"/>
      <w:bookmarkStart w:id="100" w:name="_Toc319932552"/>
      <w:r>
        <w:rPr>
          <w:rFonts w:hint="eastAsia" w:ascii="宋体" w:hAnsi="宋体" w:cs="宋体"/>
          <w:sz w:val="22"/>
          <w:szCs w:val="22"/>
        </w:rPr>
        <w:t>第十四章  违约责任与免责条款</w:t>
      </w:r>
      <w:bookmarkEnd w:id="97"/>
      <w:bookmarkEnd w:id="98"/>
      <w:bookmarkEnd w:id="99"/>
      <w:bookmarkEnd w:id="100"/>
    </w:p>
    <w:p w14:paraId="63E78BA5">
      <w:pPr>
        <w:spacing w:line="360" w:lineRule="auto"/>
        <w:ind w:firstLine="440" w:firstLineChars="200"/>
        <w:rPr>
          <w:rFonts w:ascii="宋体" w:hAnsi="宋体" w:cs="宋体"/>
          <w:sz w:val="22"/>
          <w:szCs w:val="22"/>
        </w:rPr>
      </w:pPr>
      <w:r>
        <w:rPr>
          <w:rFonts w:hint="eastAsia" w:ascii="宋体" w:hAnsi="宋体" w:cs="宋体"/>
          <w:sz w:val="22"/>
          <w:szCs w:val="22"/>
        </w:rPr>
        <w:t>14.1  甲方或乙方未履行本合同约定的义务，或一方在本合同中的声明与承诺严重失实或有重大遗漏，视为该方违约。违约方应当承担违约责任并赔偿因其违约而造成的损失。</w:t>
      </w:r>
    </w:p>
    <w:p w14:paraId="74087DAD">
      <w:pPr>
        <w:spacing w:line="360" w:lineRule="auto"/>
        <w:ind w:firstLine="440" w:firstLineChars="200"/>
        <w:rPr>
          <w:rFonts w:ascii="宋体" w:hAnsi="宋体" w:cs="宋体"/>
          <w:sz w:val="22"/>
          <w:szCs w:val="22"/>
        </w:rPr>
      </w:pPr>
      <w:r>
        <w:rPr>
          <w:rFonts w:hint="eastAsia" w:ascii="宋体" w:hAnsi="宋体" w:cs="宋体"/>
          <w:sz w:val="22"/>
          <w:szCs w:val="22"/>
        </w:rPr>
        <w:t>14.2  如甲方的企业年金基金财产来源不合法致使本合同约定的受托关系无效，以及由此引发的责任、损失、费用和债务，全部由甲方承担。</w:t>
      </w:r>
    </w:p>
    <w:p w14:paraId="49ED30D3">
      <w:pPr>
        <w:spacing w:line="360" w:lineRule="auto"/>
        <w:ind w:firstLine="440" w:firstLineChars="200"/>
        <w:rPr>
          <w:rFonts w:ascii="宋体" w:hAnsi="宋体" w:cs="宋体"/>
          <w:sz w:val="22"/>
          <w:szCs w:val="22"/>
        </w:rPr>
      </w:pPr>
      <w:r>
        <w:rPr>
          <w:rFonts w:hint="eastAsia" w:ascii="宋体" w:hAnsi="宋体" w:cs="宋体"/>
          <w:sz w:val="22"/>
          <w:szCs w:val="22"/>
        </w:rPr>
        <w:t>14.3  甲方未及时支付账户管理费，导致账户管理人暂停向甲方提供本合同约定的服务，因此给企业年金基金财产和受益人造成的损失，由甲方承担。</w:t>
      </w:r>
    </w:p>
    <w:p w14:paraId="3B0C2844">
      <w:pPr>
        <w:spacing w:line="360" w:lineRule="auto"/>
        <w:ind w:firstLine="440" w:firstLineChars="200"/>
        <w:rPr>
          <w:rFonts w:ascii="宋体" w:hAnsi="宋体" w:cs="宋体"/>
          <w:sz w:val="22"/>
          <w:szCs w:val="22"/>
        </w:rPr>
      </w:pPr>
      <w:r>
        <w:rPr>
          <w:rFonts w:hint="eastAsia" w:ascii="宋体" w:hAnsi="宋体" w:cs="宋体"/>
          <w:sz w:val="22"/>
          <w:szCs w:val="22"/>
        </w:rPr>
        <w:t>14.4  甲方无正当理由不得干预乙方行使法律法规赋予的受托人职责，如因甲方无故干预，导致企业年金基金财产受到损失的，乙方免除责任。</w:t>
      </w:r>
    </w:p>
    <w:p w14:paraId="2FF14669">
      <w:pPr>
        <w:spacing w:line="360" w:lineRule="auto"/>
        <w:ind w:firstLine="440" w:firstLineChars="200"/>
        <w:rPr>
          <w:rFonts w:ascii="宋体" w:hAnsi="宋体" w:cs="宋体"/>
          <w:sz w:val="22"/>
          <w:szCs w:val="22"/>
        </w:rPr>
      </w:pPr>
      <w:r>
        <w:rPr>
          <w:rFonts w:hint="eastAsia" w:ascii="宋体" w:hAnsi="宋体" w:cs="宋体"/>
          <w:sz w:val="22"/>
          <w:szCs w:val="22"/>
        </w:rPr>
        <w:t>14.5  甲方办理企业年金基金财产转移、受益人企业年金个人权益转移时，因新受托人未尽责等非乙方原因导致乙方未能及时办理移交手续的，乙方免除责任。</w:t>
      </w:r>
    </w:p>
    <w:p w14:paraId="7AD1C84F">
      <w:pPr>
        <w:spacing w:line="360" w:lineRule="auto"/>
        <w:ind w:firstLine="440" w:firstLineChars="200"/>
        <w:rPr>
          <w:rFonts w:ascii="宋体" w:hAnsi="宋体" w:cs="宋体"/>
          <w:sz w:val="22"/>
          <w:szCs w:val="22"/>
        </w:rPr>
      </w:pPr>
      <w:r>
        <w:rPr>
          <w:rFonts w:hint="eastAsia" w:ascii="宋体" w:hAnsi="宋体" w:cs="宋体"/>
          <w:sz w:val="22"/>
          <w:szCs w:val="22"/>
        </w:rPr>
        <w:t>14.6  受益人未行使本合同约定的权利所引发的风险或产生的损失，乙方免除责任。</w:t>
      </w:r>
    </w:p>
    <w:p w14:paraId="5B7B7F57">
      <w:pPr>
        <w:spacing w:line="360" w:lineRule="auto"/>
        <w:ind w:firstLine="440" w:firstLineChars="200"/>
        <w:rPr>
          <w:rFonts w:ascii="宋体" w:hAnsi="宋体" w:cs="宋体"/>
          <w:sz w:val="22"/>
          <w:szCs w:val="22"/>
        </w:rPr>
      </w:pPr>
      <w:r>
        <w:rPr>
          <w:rFonts w:hint="eastAsia" w:ascii="宋体" w:hAnsi="宋体" w:cs="宋体"/>
          <w:sz w:val="22"/>
          <w:szCs w:val="22"/>
        </w:rPr>
        <w:t>14.7  当事人一方因不可抗力不能履行本合同，根据不可抗力的影响，部分或全部免除违约责任。不能履行合同的一方应当及时通知对方，以减轻可能给企业年金基金财产及对方造成的损失，并应当在合理期限内提供不可抗力的证明。</w:t>
      </w:r>
    </w:p>
    <w:p w14:paraId="0C3614C4">
      <w:pPr>
        <w:spacing w:line="360" w:lineRule="auto"/>
        <w:ind w:firstLine="440" w:firstLineChars="200"/>
        <w:rPr>
          <w:rFonts w:ascii="宋体" w:hAnsi="宋体" w:cs="宋体"/>
          <w:sz w:val="22"/>
          <w:szCs w:val="22"/>
        </w:rPr>
      </w:pPr>
      <w:r>
        <w:rPr>
          <w:rFonts w:hint="eastAsia" w:ascii="宋体" w:hAnsi="宋体" w:cs="宋体"/>
          <w:sz w:val="22"/>
          <w:szCs w:val="22"/>
        </w:rPr>
        <w:t>14.8  本合同期间，除本合同约定原因外，甲乙双方不得擅自单方提前终止本合同，否则应当赔偿由此给企业年金基金财产及对方造成的损失。</w:t>
      </w:r>
    </w:p>
    <w:p w14:paraId="15B9971D">
      <w:pPr>
        <w:spacing w:line="360" w:lineRule="auto"/>
        <w:jc w:val="center"/>
        <w:rPr>
          <w:rFonts w:ascii="宋体" w:hAnsi="宋体" w:cs="宋体"/>
          <w:sz w:val="22"/>
          <w:szCs w:val="22"/>
        </w:rPr>
      </w:pPr>
      <w:bookmarkStart w:id="101" w:name="_Toc196484088"/>
      <w:bookmarkStart w:id="102" w:name="_Toc27718"/>
      <w:bookmarkStart w:id="103" w:name="_Toc319932553"/>
      <w:bookmarkStart w:id="104" w:name="_Toc311041000"/>
      <w:r>
        <w:rPr>
          <w:rFonts w:hint="eastAsia" w:ascii="宋体" w:hAnsi="宋体" w:cs="宋体"/>
          <w:sz w:val="22"/>
          <w:szCs w:val="22"/>
        </w:rPr>
        <w:t>第十五章  争议的处理</w:t>
      </w:r>
      <w:bookmarkEnd w:id="101"/>
      <w:bookmarkEnd w:id="102"/>
      <w:bookmarkEnd w:id="103"/>
      <w:bookmarkEnd w:id="104"/>
    </w:p>
    <w:p w14:paraId="40234856">
      <w:pPr>
        <w:spacing w:line="360" w:lineRule="auto"/>
        <w:ind w:firstLine="440" w:firstLineChars="200"/>
        <w:rPr>
          <w:rFonts w:ascii="宋体" w:hAnsi="宋体" w:cs="宋体"/>
          <w:sz w:val="22"/>
          <w:szCs w:val="22"/>
        </w:rPr>
      </w:pPr>
      <w:r>
        <w:rPr>
          <w:rFonts w:hint="eastAsia" w:ascii="宋体" w:hAnsi="宋体" w:cs="宋体"/>
          <w:sz w:val="22"/>
          <w:szCs w:val="22"/>
        </w:rPr>
        <w:t>15.1  本合同的签订、履行、解除、终止及解释适用中华人民共和国法律，双方当事人因履行本合同而产生争议的，应当协商解决。</w:t>
      </w:r>
    </w:p>
    <w:p w14:paraId="22668AA5">
      <w:pPr>
        <w:spacing w:line="360" w:lineRule="auto"/>
        <w:ind w:firstLine="440" w:firstLineChars="200"/>
        <w:rPr>
          <w:rFonts w:ascii="宋体" w:hAnsi="宋体" w:cs="宋体"/>
          <w:sz w:val="22"/>
          <w:szCs w:val="22"/>
        </w:rPr>
      </w:pPr>
      <w:r>
        <w:rPr>
          <w:rFonts w:hint="eastAsia" w:ascii="宋体" w:hAnsi="宋体" w:cs="宋体"/>
          <w:sz w:val="22"/>
          <w:szCs w:val="22"/>
        </w:rPr>
        <w:t>15.2  经协商未能解决的，当事人应当选择以下第</w:t>
      </w:r>
      <w:r>
        <w:rPr>
          <w:rFonts w:hint="eastAsia" w:ascii="宋体" w:hAnsi="宋体" w:cs="宋体"/>
          <w:sz w:val="22"/>
          <w:szCs w:val="22"/>
          <w:u w:val="single"/>
        </w:rPr>
        <w:t xml:space="preserve"> 15.2.1 </w:t>
      </w:r>
      <w:r>
        <w:rPr>
          <w:rFonts w:hint="eastAsia" w:ascii="宋体" w:hAnsi="宋体" w:cs="宋体"/>
          <w:sz w:val="22"/>
          <w:szCs w:val="22"/>
        </w:rPr>
        <w:t>方式解决纠纷：</w:t>
      </w:r>
    </w:p>
    <w:p w14:paraId="2B3BEA95">
      <w:pPr>
        <w:spacing w:line="360" w:lineRule="auto"/>
        <w:ind w:firstLine="440" w:firstLineChars="200"/>
        <w:rPr>
          <w:rFonts w:ascii="宋体" w:hAnsi="宋体" w:cs="宋体"/>
          <w:sz w:val="22"/>
          <w:szCs w:val="22"/>
        </w:rPr>
      </w:pPr>
      <w:bookmarkStart w:id="105" w:name="_Toc17396"/>
      <w:r>
        <w:rPr>
          <w:rFonts w:hint="eastAsia" w:ascii="宋体" w:hAnsi="宋体" w:cs="宋体"/>
          <w:sz w:val="22"/>
          <w:szCs w:val="22"/>
        </w:rPr>
        <w:t>15.2.1  向甲方所在地 有管辖权的人民法院提请诉讼；</w:t>
      </w:r>
      <w:bookmarkEnd w:id="105"/>
    </w:p>
    <w:p w14:paraId="0DDB30BD">
      <w:pPr>
        <w:spacing w:line="360" w:lineRule="auto"/>
        <w:ind w:firstLine="440" w:firstLineChars="200"/>
        <w:rPr>
          <w:rFonts w:ascii="宋体" w:hAnsi="宋体" w:cs="宋体"/>
          <w:sz w:val="22"/>
          <w:szCs w:val="22"/>
        </w:rPr>
      </w:pPr>
      <w:bookmarkStart w:id="106" w:name="_Toc539"/>
      <w:r>
        <w:rPr>
          <w:rFonts w:hint="eastAsia" w:ascii="宋体" w:hAnsi="宋体" w:cs="宋体"/>
          <w:sz w:val="22"/>
          <w:szCs w:val="22"/>
        </w:rPr>
        <w:t>15.2.2  向</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 xml:space="preserve"> </w:t>
      </w:r>
      <w:r>
        <w:rPr>
          <w:rFonts w:hint="eastAsia" w:ascii="宋体" w:hAnsi="宋体" w:cs="宋体"/>
          <w:sz w:val="22"/>
          <w:szCs w:val="22"/>
        </w:rPr>
        <w:t>（仲裁机构名称）仲裁机构申请仲裁，仲裁地点为</w:t>
      </w:r>
      <w:r>
        <w:rPr>
          <w:rFonts w:hint="eastAsia" w:ascii="宋体" w:hAnsi="宋体" w:cs="宋体"/>
          <w:sz w:val="22"/>
          <w:szCs w:val="22"/>
          <w:u w:val="single"/>
        </w:rPr>
        <w:t xml:space="preserve">      </w:t>
      </w:r>
      <w:r>
        <w:rPr>
          <w:rFonts w:hint="eastAsia" w:ascii="宋体" w:hAnsi="宋体" w:cs="宋体"/>
          <w:sz w:val="22"/>
          <w:szCs w:val="22"/>
        </w:rPr>
        <w:t>。</w:t>
      </w:r>
      <w:bookmarkEnd w:id="106"/>
    </w:p>
    <w:p w14:paraId="0BAD133B">
      <w:pPr>
        <w:spacing w:line="360" w:lineRule="auto"/>
        <w:jc w:val="center"/>
        <w:rPr>
          <w:rFonts w:ascii="宋体" w:hAnsi="宋体" w:cs="宋体"/>
          <w:sz w:val="22"/>
          <w:szCs w:val="22"/>
        </w:rPr>
      </w:pPr>
      <w:bookmarkStart w:id="107" w:name="_Toc319932554"/>
      <w:bookmarkStart w:id="108" w:name="_Toc311041001"/>
      <w:bookmarkStart w:id="109" w:name="_Toc15687"/>
      <w:r>
        <w:rPr>
          <w:rFonts w:hint="eastAsia" w:ascii="宋体" w:hAnsi="宋体" w:cs="宋体"/>
          <w:sz w:val="22"/>
          <w:szCs w:val="22"/>
        </w:rPr>
        <w:t>第十六章  本合同的生效、期限、变更与终止</w:t>
      </w:r>
      <w:bookmarkEnd w:id="107"/>
      <w:bookmarkEnd w:id="108"/>
      <w:bookmarkEnd w:id="109"/>
    </w:p>
    <w:p w14:paraId="32F00DD3">
      <w:pPr>
        <w:spacing w:line="360" w:lineRule="auto"/>
        <w:ind w:firstLine="440" w:firstLineChars="200"/>
        <w:rPr>
          <w:rFonts w:ascii="宋体" w:hAnsi="宋体" w:cs="宋体"/>
          <w:sz w:val="22"/>
          <w:szCs w:val="22"/>
        </w:rPr>
      </w:pPr>
      <w:r>
        <w:rPr>
          <w:rFonts w:hint="eastAsia" w:ascii="宋体" w:hAnsi="宋体" w:cs="宋体"/>
          <w:sz w:val="22"/>
          <w:szCs w:val="22"/>
        </w:rPr>
        <w:t>16.1  本合同的生效。</w:t>
      </w:r>
    </w:p>
    <w:p w14:paraId="71612BC9">
      <w:pPr>
        <w:spacing w:line="360" w:lineRule="auto"/>
        <w:ind w:firstLine="440" w:firstLineChars="200"/>
        <w:rPr>
          <w:rFonts w:ascii="宋体" w:hAnsi="宋体" w:cs="宋体"/>
          <w:sz w:val="22"/>
          <w:szCs w:val="22"/>
        </w:rPr>
      </w:pPr>
      <w:r>
        <w:rPr>
          <w:rFonts w:hint="eastAsia" w:ascii="宋体" w:hAnsi="宋体" w:cs="宋体"/>
          <w:sz w:val="22"/>
          <w:szCs w:val="22"/>
        </w:rPr>
        <w:t>本合同于甲乙双方的法定代表人或授权代表签字（或签章）、加盖双方公章，并经人力资源社会保障行政部门备案后生效。</w:t>
      </w:r>
    </w:p>
    <w:p w14:paraId="5FCC1009">
      <w:pPr>
        <w:spacing w:line="360" w:lineRule="auto"/>
        <w:ind w:firstLine="440" w:firstLineChars="200"/>
        <w:rPr>
          <w:rFonts w:ascii="宋体" w:hAnsi="宋体" w:cs="宋体"/>
          <w:sz w:val="22"/>
          <w:szCs w:val="22"/>
        </w:rPr>
      </w:pPr>
      <w:r>
        <w:rPr>
          <w:rFonts w:hint="eastAsia" w:ascii="宋体" w:hAnsi="宋体" w:cs="宋体"/>
          <w:sz w:val="22"/>
          <w:szCs w:val="22"/>
        </w:rPr>
        <w:t>16.2  本合同的期限。</w:t>
      </w:r>
    </w:p>
    <w:p w14:paraId="5C8388B1">
      <w:pPr>
        <w:spacing w:line="360" w:lineRule="auto"/>
        <w:ind w:firstLine="440" w:firstLineChars="200"/>
        <w:rPr>
          <w:rFonts w:ascii="宋体" w:hAnsi="宋体" w:cs="宋体"/>
          <w:sz w:val="22"/>
          <w:szCs w:val="22"/>
        </w:rPr>
      </w:pPr>
      <w:r>
        <w:rPr>
          <w:rFonts w:hint="eastAsia" w:ascii="宋体" w:hAnsi="宋体" w:cs="宋体"/>
          <w:sz w:val="22"/>
          <w:szCs w:val="22"/>
        </w:rPr>
        <w:t>本合同期限为自本合同生效之日起</w:t>
      </w:r>
      <w:r>
        <w:rPr>
          <w:rFonts w:hint="eastAsia" w:ascii="宋体" w:hAnsi="宋体" w:cs="宋体"/>
          <w:sz w:val="22"/>
          <w:szCs w:val="22"/>
          <w:u w:val="single"/>
        </w:rPr>
        <w:t xml:space="preserve">     </w:t>
      </w:r>
      <w:r>
        <w:rPr>
          <w:rFonts w:hint="eastAsia" w:ascii="宋体" w:hAnsi="宋体" w:cs="宋体"/>
          <w:sz w:val="22"/>
          <w:szCs w:val="22"/>
        </w:rPr>
        <w:t>年，合同届满时如遇公休日或法定节假日，则顺延至下一个工作日。</w:t>
      </w:r>
    </w:p>
    <w:p w14:paraId="5688C6D0">
      <w:pPr>
        <w:spacing w:line="360" w:lineRule="auto"/>
        <w:ind w:firstLine="440" w:firstLineChars="200"/>
        <w:rPr>
          <w:rFonts w:ascii="宋体" w:hAnsi="宋体" w:cs="宋体"/>
          <w:sz w:val="22"/>
          <w:szCs w:val="22"/>
        </w:rPr>
      </w:pPr>
      <w:r>
        <w:rPr>
          <w:rFonts w:hint="eastAsia" w:ascii="宋体" w:hAnsi="宋体" w:cs="宋体"/>
          <w:sz w:val="22"/>
          <w:szCs w:val="22"/>
        </w:rPr>
        <w:t>16.3  本合同的变更。</w:t>
      </w:r>
    </w:p>
    <w:p w14:paraId="1774CF9F">
      <w:pPr>
        <w:spacing w:line="360" w:lineRule="auto"/>
        <w:ind w:firstLine="440" w:firstLineChars="200"/>
        <w:rPr>
          <w:rFonts w:ascii="宋体" w:hAnsi="宋体" w:cs="宋体"/>
          <w:sz w:val="22"/>
          <w:szCs w:val="22"/>
        </w:rPr>
      </w:pPr>
      <w:r>
        <w:rPr>
          <w:rFonts w:hint="eastAsia" w:ascii="宋体" w:hAnsi="宋体" w:cs="宋体"/>
          <w:sz w:val="22"/>
          <w:szCs w:val="22"/>
        </w:rPr>
        <w:t>本合同生效后，如需变更，须经双方协商一致并达成书面协议，出现下列情况之一的，由乙方向人力资源社会保障行政部门备案本合同：</w:t>
      </w:r>
    </w:p>
    <w:p w14:paraId="7EC00905">
      <w:pPr>
        <w:spacing w:line="360" w:lineRule="auto"/>
        <w:ind w:firstLine="440" w:firstLineChars="200"/>
        <w:rPr>
          <w:rFonts w:ascii="宋体" w:hAnsi="宋体" w:cs="宋体"/>
          <w:sz w:val="22"/>
          <w:szCs w:val="22"/>
        </w:rPr>
      </w:pPr>
      <w:bookmarkStart w:id="110" w:name="_Toc6989"/>
      <w:r>
        <w:rPr>
          <w:rFonts w:hint="eastAsia" w:ascii="宋体" w:hAnsi="宋体" w:cs="宋体"/>
          <w:sz w:val="22"/>
          <w:szCs w:val="22"/>
        </w:rPr>
        <w:t>16.3.1  企业年金计划名称变更；</w:t>
      </w:r>
      <w:bookmarkEnd w:id="110"/>
    </w:p>
    <w:p w14:paraId="3BE43C4E">
      <w:pPr>
        <w:spacing w:line="360" w:lineRule="auto"/>
        <w:ind w:firstLine="440" w:firstLineChars="200"/>
        <w:rPr>
          <w:rFonts w:ascii="宋体" w:hAnsi="宋体" w:cs="宋体"/>
          <w:sz w:val="22"/>
          <w:szCs w:val="22"/>
        </w:rPr>
      </w:pPr>
      <w:bookmarkStart w:id="111" w:name="_Toc16712"/>
      <w:r>
        <w:rPr>
          <w:rFonts w:hint="eastAsia" w:ascii="宋体" w:hAnsi="宋体" w:cs="宋体"/>
          <w:sz w:val="22"/>
          <w:szCs w:val="22"/>
        </w:rPr>
        <w:t>16.3.2  账户管理人、托管人或投资管理人变更；</w:t>
      </w:r>
      <w:bookmarkEnd w:id="111"/>
    </w:p>
    <w:p w14:paraId="6DD38FDE">
      <w:pPr>
        <w:spacing w:line="360" w:lineRule="auto"/>
        <w:ind w:firstLine="440" w:firstLineChars="200"/>
        <w:rPr>
          <w:rFonts w:ascii="宋体" w:hAnsi="宋体" w:cs="宋体"/>
          <w:sz w:val="22"/>
          <w:szCs w:val="22"/>
        </w:rPr>
      </w:pPr>
      <w:bookmarkStart w:id="112" w:name="_Toc1634"/>
      <w:r>
        <w:rPr>
          <w:rFonts w:hint="eastAsia" w:ascii="宋体" w:hAnsi="宋体" w:cs="宋体"/>
          <w:sz w:val="22"/>
          <w:szCs w:val="22"/>
        </w:rPr>
        <w:t>16.3.3  企业年金计划管理费率变更；</w:t>
      </w:r>
      <w:bookmarkEnd w:id="112"/>
    </w:p>
    <w:p w14:paraId="792AAD3B">
      <w:pPr>
        <w:spacing w:line="360" w:lineRule="auto"/>
        <w:ind w:firstLine="440" w:firstLineChars="200"/>
        <w:rPr>
          <w:rFonts w:ascii="宋体" w:hAnsi="宋体" w:cs="宋体"/>
          <w:sz w:val="22"/>
          <w:szCs w:val="22"/>
        </w:rPr>
      </w:pPr>
      <w:bookmarkStart w:id="113" w:name="_Toc13737"/>
      <w:r>
        <w:rPr>
          <w:rFonts w:hint="eastAsia" w:ascii="宋体" w:hAnsi="宋体" w:cs="宋体"/>
          <w:sz w:val="22"/>
          <w:szCs w:val="22"/>
        </w:rPr>
        <w:t>16.3.4  本合同其他主要内容调整；</w:t>
      </w:r>
      <w:bookmarkEnd w:id="113"/>
    </w:p>
    <w:p w14:paraId="7334FB98">
      <w:pPr>
        <w:spacing w:line="360" w:lineRule="auto"/>
        <w:ind w:firstLine="440" w:firstLineChars="200"/>
        <w:rPr>
          <w:rFonts w:ascii="宋体" w:hAnsi="宋体" w:cs="宋体"/>
          <w:sz w:val="22"/>
          <w:szCs w:val="22"/>
        </w:rPr>
      </w:pPr>
      <w:bookmarkStart w:id="114" w:name="_Toc625"/>
      <w:r>
        <w:rPr>
          <w:rFonts w:hint="eastAsia" w:ascii="宋体" w:hAnsi="宋体" w:cs="宋体"/>
          <w:sz w:val="22"/>
          <w:szCs w:val="22"/>
        </w:rPr>
        <w:t>16.3.5  法律法规规定及本合同约定的其他情形。</w:t>
      </w:r>
      <w:bookmarkEnd w:id="114"/>
    </w:p>
    <w:p w14:paraId="57C37409">
      <w:pPr>
        <w:spacing w:line="360" w:lineRule="auto"/>
        <w:ind w:firstLine="440" w:firstLineChars="200"/>
        <w:rPr>
          <w:rFonts w:ascii="宋体" w:hAnsi="宋体" w:cs="宋体"/>
          <w:sz w:val="22"/>
          <w:szCs w:val="22"/>
        </w:rPr>
      </w:pPr>
      <w:r>
        <w:rPr>
          <w:rFonts w:hint="eastAsia" w:ascii="宋体" w:hAnsi="宋体" w:cs="宋体"/>
          <w:sz w:val="22"/>
          <w:szCs w:val="22"/>
        </w:rPr>
        <w:t>16.4  甲乙双方按照以下</w:t>
      </w:r>
      <w:r>
        <w:rPr>
          <w:rFonts w:hint="eastAsia" w:ascii="宋体" w:hAnsi="宋体" w:cs="宋体"/>
          <w:sz w:val="22"/>
          <w:szCs w:val="22"/>
          <w:u w:val="single"/>
        </w:rPr>
        <w:t xml:space="preserve"> 16.4.2</w:t>
      </w:r>
      <w:r>
        <w:rPr>
          <w:rFonts w:hint="eastAsia" w:ascii="宋体" w:hAnsi="宋体" w:cs="宋体"/>
          <w:sz w:val="22"/>
          <w:szCs w:val="22"/>
        </w:rPr>
        <w:t>方式确定本合同是否顺延或续签。</w:t>
      </w:r>
    </w:p>
    <w:p w14:paraId="2AB25B5C">
      <w:pPr>
        <w:spacing w:line="360" w:lineRule="auto"/>
        <w:ind w:firstLine="440" w:firstLineChars="200"/>
        <w:rPr>
          <w:rFonts w:ascii="宋体" w:hAnsi="宋体" w:cs="宋体"/>
          <w:sz w:val="22"/>
          <w:szCs w:val="22"/>
        </w:rPr>
      </w:pPr>
      <w:r>
        <w:rPr>
          <w:rFonts w:hint="eastAsia" w:ascii="宋体" w:hAnsi="宋体" w:cs="宋体"/>
          <w:sz w:val="22"/>
          <w:szCs w:val="22"/>
        </w:rPr>
        <w:t>16.4.1  本合同期限截止日一个月前，任何一方未提出异议的，视为双方同意顺延相同合同期限，以后依此类推，</w:t>
      </w:r>
      <w:r>
        <w:rPr>
          <w:rFonts w:hint="eastAsia" w:ascii="宋体" w:hAnsi="宋体" w:cs="宋体"/>
          <w:sz w:val="22"/>
          <w:szCs w:val="22"/>
          <w:lang w:val="zh-CN"/>
        </w:rPr>
        <w:t>顺延次数不受限制；</w:t>
      </w:r>
    </w:p>
    <w:p w14:paraId="739878ED">
      <w:pPr>
        <w:spacing w:line="360" w:lineRule="auto"/>
        <w:ind w:firstLine="440" w:firstLineChars="200"/>
        <w:rPr>
          <w:rFonts w:ascii="宋体" w:hAnsi="宋体" w:cs="宋体"/>
          <w:sz w:val="22"/>
          <w:szCs w:val="22"/>
        </w:rPr>
      </w:pPr>
      <w:r>
        <w:rPr>
          <w:rFonts w:hint="eastAsia" w:ascii="宋体" w:hAnsi="宋体" w:cs="宋体"/>
          <w:sz w:val="22"/>
          <w:szCs w:val="22"/>
        </w:rPr>
        <w:t>16.4.2  本合同期限截止日一个月前，甲乙双方应就是否续签本合同进行协商，甲乙双方同意续签本合同的，甲乙双方履行合同签署手续</w:t>
      </w:r>
      <w:r>
        <w:rPr>
          <w:rFonts w:hint="eastAsia" w:ascii="宋体" w:hAnsi="宋体" w:cs="宋体"/>
          <w:kern w:val="0"/>
          <w:sz w:val="22"/>
          <w:szCs w:val="22"/>
          <w:lang w:val="zh-CN"/>
        </w:rPr>
        <w:t>。</w:t>
      </w:r>
    </w:p>
    <w:p w14:paraId="23E1C97A">
      <w:pPr>
        <w:spacing w:line="360" w:lineRule="auto"/>
        <w:ind w:firstLine="440" w:firstLineChars="200"/>
        <w:rPr>
          <w:rFonts w:ascii="宋体" w:hAnsi="宋体" w:cs="宋体"/>
          <w:sz w:val="22"/>
          <w:szCs w:val="22"/>
        </w:rPr>
      </w:pPr>
      <w:r>
        <w:rPr>
          <w:rFonts w:hint="eastAsia" w:ascii="宋体" w:hAnsi="宋体" w:cs="宋体"/>
          <w:sz w:val="22"/>
          <w:szCs w:val="22"/>
        </w:rPr>
        <w:t>16.5  本合同到期顺延或续签，且合同条款无任何变更的，由乙方向人力资源社会保障行政部门报送合同顺延或合同续签情况说明的函，不再报备合同；本合同到期顺延或续签，合同条款有变更的，由乙方向人力资源社会保障行政部门报备相关变更条款。</w:t>
      </w:r>
    </w:p>
    <w:p w14:paraId="01B45240">
      <w:pPr>
        <w:spacing w:line="360" w:lineRule="auto"/>
        <w:ind w:firstLine="440" w:firstLineChars="200"/>
        <w:rPr>
          <w:rFonts w:ascii="宋体" w:hAnsi="宋体" w:cs="宋体"/>
          <w:sz w:val="22"/>
          <w:szCs w:val="22"/>
        </w:rPr>
      </w:pPr>
      <w:bookmarkStart w:id="115" w:name="_Toc196484091"/>
      <w:r>
        <w:rPr>
          <w:rFonts w:hint="eastAsia" w:ascii="宋体" w:hAnsi="宋体" w:cs="宋体"/>
          <w:sz w:val="22"/>
          <w:szCs w:val="22"/>
        </w:rPr>
        <w:t>16.6  本合同的终止。</w:t>
      </w:r>
    </w:p>
    <w:p w14:paraId="3B467DD5">
      <w:pPr>
        <w:spacing w:line="360" w:lineRule="auto"/>
        <w:ind w:firstLine="440" w:firstLineChars="200"/>
        <w:rPr>
          <w:rFonts w:ascii="宋体" w:hAnsi="宋体" w:cs="宋体"/>
          <w:sz w:val="22"/>
          <w:szCs w:val="22"/>
        </w:rPr>
      </w:pPr>
      <w:r>
        <w:rPr>
          <w:rFonts w:hint="eastAsia" w:ascii="宋体" w:hAnsi="宋体" w:cs="宋体"/>
          <w:sz w:val="22"/>
          <w:szCs w:val="22"/>
        </w:rPr>
        <w:t>16.6.1  出现下列情况之一的，本合同终止：</w:t>
      </w:r>
    </w:p>
    <w:p w14:paraId="3B4610E3">
      <w:pPr>
        <w:spacing w:line="360" w:lineRule="auto"/>
        <w:ind w:firstLine="440" w:firstLineChars="200"/>
        <w:rPr>
          <w:rFonts w:ascii="宋体" w:hAnsi="宋体" w:cs="宋体"/>
          <w:sz w:val="22"/>
          <w:szCs w:val="22"/>
        </w:rPr>
      </w:pPr>
      <w:r>
        <w:rPr>
          <w:rFonts w:hint="eastAsia" w:ascii="宋体" w:hAnsi="宋体" w:cs="宋体"/>
          <w:sz w:val="22"/>
          <w:szCs w:val="22"/>
        </w:rPr>
        <w:t>16.6.1.1  本合同期限届满且未顺延；</w:t>
      </w:r>
    </w:p>
    <w:p w14:paraId="52C0A08F">
      <w:pPr>
        <w:spacing w:line="360" w:lineRule="auto"/>
        <w:ind w:firstLine="440" w:firstLineChars="200"/>
        <w:rPr>
          <w:rFonts w:ascii="宋体" w:hAnsi="宋体" w:cs="宋体"/>
          <w:sz w:val="22"/>
          <w:szCs w:val="22"/>
        </w:rPr>
      </w:pPr>
      <w:r>
        <w:rPr>
          <w:rFonts w:hint="eastAsia" w:ascii="宋体" w:hAnsi="宋体" w:cs="宋体"/>
          <w:sz w:val="22"/>
          <w:szCs w:val="22"/>
        </w:rPr>
        <w:t>16.6.1.2  本合同经甲方与乙方协商同意终止；</w:t>
      </w:r>
    </w:p>
    <w:p w14:paraId="77939254">
      <w:pPr>
        <w:spacing w:line="360" w:lineRule="auto"/>
        <w:ind w:firstLine="440" w:firstLineChars="200"/>
        <w:rPr>
          <w:rFonts w:ascii="宋体" w:hAnsi="宋体" w:cs="宋体"/>
          <w:sz w:val="22"/>
          <w:szCs w:val="22"/>
        </w:rPr>
      </w:pPr>
      <w:r>
        <w:rPr>
          <w:rFonts w:hint="eastAsia" w:ascii="宋体" w:hAnsi="宋体" w:cs="宋体"/>
          <w:sz w:val="22"/>
          <w:szCs w:val="22"/>
        </w:rPr>
        <w:t>16.6.1.3  本合同双方的合同关系被依法撤销；</w:t>
      </w:r>
    </w:p>
    <w:p w14:paraId="77BD6038">
      <w:pPr>
        <w:spacing w:line="360" w:lineRule="auto"/>
        <w:ind w:firstLine="440" w:firstLineChars="200"/>
        <w:rPr>
          <w:rFonts w:ascii="宋体" w:hAnsi="宋体" w:cs="宋体"/>
          <w:sz w:val="22"/>
          <w:szCs w:val="22"/>
        </w:rPr>
      </w:pPr>
      <w:r>
        <w:rPr>
          <w:rFonts w:hint="eastAsia" w:ascii="宋体" w:hAnsi="宋体" w:cs="宋体"/>
          <w:sz w:val="22"/>
          <w:szCs w:val="22"/>
        </w:rPr>
        <w:t>16.6.1.4  本合同双方的合同关系被依法解除。</w:t>
      </w:r>
    </w:p>
    <w:p w14:paraId="1E89F464">
      <w:pPr>
        <w:spacing w:line="360" w:lineRule="auto"/>
        <w:ind w:firstLine="440" w:firstLineChars="200"/>
        <w:rPr>
          <w:rFonts w:ascii="宋体" w:hAnsi="宋体" w:cs="宋体"/>
          <w:sz w:val="22"/>
          <w:szCs w:val="22"/>
        </w:rPr>
      </w:pPr>
      <w:r>
        <w:rPr>
          <w:rFonts w:hint="eastAsia" w:ascii="宋体" w:hAnsi="宋体" w:cs="宋体"/>
          <w:sz w:val="22"/>
          <w:szCs w:val="22"/>
        </w:rPr>
        <w:t>16.6.2  在本合同期限内，有下列情形之一，甲方可以单方终止本合同：</w:t>
      </w:r>
    </w:p>
    <w:p w14:paraId="2BA36131">
      <w:pPr>
        <w:spacing w:line="360" w:lineRule="auto"/>
        <w:ind w:firstLine="440" w:firstLineChars="200"/>
        <w:rPr>
          <w:rFonts w:ascii="宋体" w:hAnsi="宋体" w:cs="宋体"/>
          <w:sz w:val="22"/>
          <w:szCs w:val="22"/>
        </w:rPr>
      </w:pPr>
      <w:r>
        <w:rPr>
          <w:rFonts w:hint="eastAsia" w:ascii="宋体" w:hAnsi="宋体" w:cs="宋体"/>
          <w:sz w:val="22"/>
          <w:szCs w:val="22"/>
        </w:rPr>
        <w:t>16.6.2.1  乙方违反本合同约定且致使不能实现合同目的；</w:t>
      </w:r>
    </w:p>
    <w:p w14:paraId="052264C0">
      <w:pPr>
        <w:spacing w:line="360" w:lineRule="auto"/>
        <w:ind w:firstLine="440" w:firstLineChars="200"/>
        <w:rPr>
          <w:rFonts w:ascii="宋体" w:hAnsi="宋体" w:cs="宋体"/>
          <w:sz w:val="22"/>
          <w:szCs w:val="22"/>
        </w:rPr>
      </w:pPr>
      <w:r>
        <w:rPr>
          <w:rFonts w:hint="eastAsia" w:ascii="宋体" w:hAnsi="宋体" w:cs="宋体"/>
          <w:sz w:val="22"/>
          <w:szCs w:val="22"/>
        </w:rPr>
        <w:t>16.6.2.2  乙方利用企业年金基金财产为其谋取利益，或者为他人谋取不正当利益；</w:t>
      </w:r>
    </w:p>
    <w:p w14:paraId="0FCD2624">
      <w:pPr>
        <w:spacing w:line="360" w:lineRule="auto"/>
        <w:ind w:firstLine="440" w:firstLineChars="200"/>
        <w:rPr>
          <w:rFonts w:ascii="宋体" w:hAnsi="宋体" w:cs="宋体"/>
          <w:sz w:val="22"/>
          <w:szCs w:val="22"/>
        </w:rPr>
      </w:pPr>
      <w:r>
        <w:rPr>
          <w:rFonts w:hint="eastAsia" w:ascii="宋体" w:hAnsi="宋体" w:cs="宋体"/>
          <w:sz w:val="22"/>
          <w:szCs w:val="22"/>
        </w:rPr>
        <w:t>16.6.2.3  乙方依法解散、被依法撤销、被依法宣告破产或被依法接管；</w:t>
      </w:r>
    </w:p>
    <w:p w14:paraId="1AAD555B">
      <w:pPr>
        <w:spacing w:line="360" w:lineRule="auto"/>
        <w:ind w:firstLine="440" w:firstLineChars="200"/>
        <w:rPr>
          <w:rFonts w:ascii="宋体" w:hAnsi="宋体" w:cs="宋体"/>
          <w:sz w:val="22"/>
          <w:szCs w:val="22"/>
        </w:rPr>
      </w:pPr>
      <w:r>
        <w:rPr>
          <w:rFonts w:hint="eastAsia" w:ascii="宋体" w:hAnsi="宋体" w:cs="宋体"/>
          <w:sz w:val="22"/>
          <w:szCs w:val="22"/>
        </w:rPr>
        <w:t>16.6.2.4  乙方被依法取消企业年金基金受托管理业务资格；</w:t>
      </w:r>
    </w:p>
    <w:p w14:paraId="393107BC">
      <w:pPr>
        <w:spacing w:line="360" w:lineRule="auto"/>
        <w:ind w:firstLine="440" w:firstLineChars="200"/>
        <w:rPr>
          <w:rFonts w:ascii="宋体" w:hAnsi="宋体" w:cs="宋体"/>
          <w:sz w:val="22"/>
          <w:szCs w:val="22"/>
        </w:rPr>
      </w:pPr>
      <w:r>
        <w:rPr>
          <w:rFonts w:hint="eastAsia" w:ascii="宋体" w:hAnsi="宋体" w:cs="宋体"/>
          <w:sz w:val="22"/>
          <w:szCs w:val="22"/>
        </w:rPr>
        <w:t>16.6.2.5  甲方有充分理由和证据认为更换乙方符合受益人利益；</w:t>
      </w:r>
    </w:p>
    <w:p w14:paraId="6CA59306">
      <w:pPr>
        <w:spacing w:line="360" w:lineRule="auto"/>
        <w:ind w:firstLine="440" w:firstLineChars="200"/>
        <w:rPr>
          <w:rFonts w:ascii="宋体" w:hAnsi="宋体" w:cs="宋体"/>
          <w:sz w:val="22"/>
          <w:szCs w:val="22"/>
        </w:rPr>
      </w:pPr>
      <w:r>
        <w:rPr>
          <w:rFonts w:hint="eastAsia" w:ascii="宋体" w:hAnsi="宋体" w:cs="宋体"/>
          <w:sz w:val="22"/>
          <w:szCs w:val="22"/>
        </w:rPr>
        <w:t>16.6.2.6  有关监管部门有充分理由和依据认为更换乙方符合受益人利益；</w:t>
      </w:r>
    </w:p>
    <w:p w14:paraId="7554F175">
      <w:pPr>
        <w:spacing w:line="360" w:lineRule="auto"/>
        <w:ind w:firstLine="440" w:firstLineChars="200"/>
        <w:rPr>
          <w:rFonts w:ascii="宋体" w:hAnsi="宋体" w:cs="宋体"/>
          <w:sz w:val="22"/>
          <w:szCs w:val="22"/>
        </w:rPr>
      </w:pPr>
      <w:r>
        <w:rPr>
          <w:rFonts w:hint="eastAsia" w:ascii="宋体" w:hAnsi="宋体" w:cs="宋体"/>
          <w:sz w:val="22"/>
          <w:szCs w:val="22"/>
        </w:rPr>
        <w:t>16.6.2.7  乙方在企业年金基金运作中有严重违反法律法规规定的行为；</w:t>
      </w:r>
    </w:p>
    <w:p w14:paraId="1CB8578D">
      <w:pPr>
        <w:spacing w:line="360" w:lineRule="auto"/>
        <w:ind w:firstLine="440" w:firstLineChars="200"/>
        <w:rPr>
          <w:rFonts w:ascii="宋体" w:hAnsi="宋体" w:cs="宋体"/>
          <w:sz w:val="22"/>
          <w:szCs w:val="22"/>
        </w:rPr>
      </w:pPr>
      <w:r>
        <w:rPr>
          <w:rFonts w:hint="eastAsia" w:ascii="宋体" w:hAnsi="宋体" w:cs="宋体"/>
          <w:sz w:val="22"/>
          <w:szCs w:val="22"/>
        </w:rPr>
        <w:t>16.6.2.8  法律法规规定及本合同约定的其他情形。</w:t>
      </w:r>
    </w:p>
    <w:p w14:paraId="0692ABCB">
      <w:pPr>
        <w:spacing w:line="360" w:lineRule="auto"/>
        <w:ind w:firstLine="440" w:firstLineChars="200"/>
        <w:rPr>
          <w:rFonts w:ascii="宋体" w:hAnsi="宋体" w:cs="宋体"/>
          <w:sz w:val="22"/>
          <w:szCs w:val="22"/>
        </w:rPr>
      </w:pPr>
      <w:r>
        <w:rPr>
          <w:rFonts w:hint="eastAsia" w:ascii="宋体" w:hAnsi="宋体" w:cs="宋体"/>
          <w:sz w:val="22"/>
          <w:szCs w:val="22"/>
        </w:rPr>
        <w:t>16.6.3  在本合同期限内，有下列情形之一，乙方可以单方终止本合同：</w:t>
      </w:r>
    </w:p>
    <w:p w14:paraId="468E296F">
      <w:pPr>
        <w:spacing w:line="360" w:lineRule="auto"/>
        <w:ind w:firstLine="440" w:firstLineChars="200"/>
        <w:rPr>
          <w:rFonts w:ascii="宋体" w:hAnsi="宋体" w:cs="宋体"/>
          <w:sz w:val="22"/>
          <w:szCs w:val="22"/>
        </w:rPr>
      </w:pPr>
      <w:r>
        <w:rPr>
          <w:rFonts w:hint="eastAsia" w:ascii="宋体" w:hAnsi="宋体" w:cs="宋体"/>
          <w:sz w:val="22"/>
          <w:szCs w:val="22"/>
        </w:rPr>
        <w:t>16.6.3.1  甲方因其违约行为致使不能实现合同目的；</w:t>
      </w:r>
    </w:p>
    <w:p w14:paraId="54AD7D7E">
      <w:pPr>
        <w:spacing w:line="360" w:lineRule="auto"/>
        <w:ind w:firstLine="440" w:firstLineChars="200"/>
        <w:rPr>
          <w:rFonts w:ascii="宋体" w:hAnsi="宋体" w:cs="宋体"/>
          <w:sz w:val="22"/>
          <w:szCs w:val="22"/>
        </w:rPr>
      </w:pPr>
      <w:r>
        <w:rPr>
          <w:rFonts w:hint="eastAsia" w:ascii="宋体" w:hAnsi="宋体" w:cs="宋体"/>
          <w:sz w:val="22"/>
          <w:szCs w:val="22"/>
        </w:rPr>
        <w:t>16.6.3.2  甲方在企业年金基金运作中有严重违反法律法规规定的行为；</w:t>
      </w:r>
    </w:p>
    <w:p w14:paraId="0CB69ECB">
      <w:pPr>
        <w:spacing w:line="360" w:lineRule="auto"/>
        <w:ind w:firstLine="440" w:firstLineChars="200"/>
        <w:rPr>
          <w:rFonts w:ascii="宋体" w:hAnsi="宋体" w:cs="宋体"/>
          <w:sz w:val="22"/>
          <w:szCs w:val="22"/>
        </w:rPr>
      </w:pPr>
      <w:r>
        <w:rPr>
          <w:rFonts w:hint="eastAsia" w:ascii="宋体" w:hAnsi="宋体" w:cs="宋体"/>
          <w:sz w:val="22"/>
          <w:szCs w:val="22"/>
        </w:rPr>
        <w:t>16.6.3.3  甲方依法解散、被依法撤销、被依法宣告破产或被依法接管；</w:t>
      </w:r>
    </w:p>
    <w:p w14:paraId="610A815C">
      <w:pPr>
        <w:spacing w:line="360" w:lineRule="auto"/>
        <w:ind w:firstLine="440" w:firstLineChars="200"/>
        <w:rPr>
          <w:rFonts w:ascii="宋体" w:hAnsi="宋体" w:cs="宋体"/>
          <w:sz w:val="22"/>
          <w:szCs w:val="22"/>
        </w:rPr>
      </w:pPr>
      <w:r>
        <w:rPr>
          <w:rFonts w:hint="eastAsia" w:ascii="宋体" w:hAnsi="宋体" w:cs="宋体"/>
          <w:sz w:val="22"/>
          <w:szCs w:val="22"/>
        </w:rPr>
        <w:t>16.6.3.4  法律法规规定及本合同约定的其他情形。</w:t>
      </w:r>
    </w:p>
    <w:p w14:paraId="3604F8CB">
      <w:pPr>
        <w:spacing w:line="360" w:lineRule="auto"/>
        <w:ind w:firstLine="440" w:firstLineChars="200"/>
        <w:rPr>
          <w:rFonts w:ascii="宋体" w:hAnsi="宋体" w:cs="宋体"/>
          <w:sz w:val="22"/>
          <w:szCs w:val="22"/>
        </w:rPr>
      </w:pPr>
      <w:r>
        <w:rPr>
          <w:rFonts w:hint="eastAsia" w:ascii="宋体" w:hAnsi="宋体" w:cs="宋体"/>
          <w:kern w:val="0"/>
          <w:sz w:val="22"/>
          <w:szCs w:val="22"/>
          <w:lang w:val="zh-CN"/>
        </w:rPr>
        <w:t>16.7  本合同的终止日期：本合同期限正常届满的，以本合同期的最后一日为终止日，</w:t>
      </w:r>
      <w:r>
        <w:rPr>
          <w:rFonts w:hint="eastAsia" w:ascii="宋体" w:hAnsi="宋体" w:cs="宋体"/>
          <w:sz w:val="22"/>
          <w:szCs w:val="22"/>
        </w:rPr>
        <w:t>若遇公休日或法定节假日，则顺延至下一个工作日</w:t>
      </w:r>
      <w:r>
        <w:rPr>
          <w:rFonts w:hint="eastAsia" w:ascii="宋体" w:hAnsi="宋体" w:cs="宋体"/>
          <w:kern w:val="0"/>
          <w:sz w:val="22"/>
          <w:szCs w:val="22"/>
          <w:lang w:val="zh-CN"/>
        </w:rPr>
        <w:t>；本合同双方协商终止的，以终止协议约定的日期为终止日；如果双方的合同关系被依法撤销或解除的，以撤销或解除通知生效之日为终止日；</w:t>
      </w:r>
      <w:r>
        <w:rPr>
          <w:rFonts w:hint="eastAsia" w:ascii="宋体" w:hAnsi="宋体" w:cs="宋体"/>
          <w:sz w:val="22"/>
          <w:szCs w:val="22"/>
        </w:rPr>
        <w:t>如甲方或乙方按本合同第16.6.2款与第16.6.3款的约定解除合同关系，以一方解除合同通知送达对方之日为终止日。</w:t>
      </w:r>
    </w:p>
    <w:p w14:paraId="22BE7DFA">
      <w:pPr>
        <w:spacing w:line="360" w:lineRule="auto"/>
        <w:jc w:val="center"/>
        <w:rPr>
          <w:rFonts w:ascii="宋体" w:hAnsi="宋体" w:cs="宋体"/>
          <w:sz w:val="22"/>
          <w:szCs w:val="22"/>
        </w:rPr>
      </w:pPr>
      <w:bookmarkStart w:id="116" w:name="_Toc15149"/>
      <w:bookmarkStart w:id="117" w:name="_Toc319932555"/>
      <w:bookmarkStart w:id="118" w:name="_Toc311041002"/>
      <w:r>
        <w:rPr>
          <w:rFonts w:hint="eastAsia" w:ascii="宋体" w:hAnsi="宋体" w:cs="宋体"/>
          <w:sz w:val="22"/>
          <w:szCs w:val="22"/>
        </w:rPr>
        <w:t>第十七章  保密条款</w:t>
      </w:r>
      <w:bookmarkEnd w:id="115"/>
      <w:bookmarkEnd w:id="116"/>
      <w:bookmarkEnd w:id="117"/>
      <w:bookmarkEnd w:id="118"/>
    </w:p>
    <w:p w14:paraId="6FBF0437">
      <w:pPr>
        <w:spacing w:line="360" w:lineRule="auto"/>
        <w:ind w:firstLine="440" w:firstLineChars="200"/>
        <w:rPr>
          <w:rFonts w:ascii="宋体" w:hAnsi="宋体" w:cs="宋体"/>
          <w:sz w:val="22"/>
          <w:szCs w:val="22"/>
        </w:rPr>
      </w:pPr>
      <w:r>
        <w:rPr>
          <w:rFonts w:hint="eastAsia" w:ascii="宋体" w:hAnsi="宋体" w:cs="宋体"/>
          <w:sz w:val="22"/>
          <w:szCs w:val="22"/>
        </w:rPr>
        <w:t>17.1  甲方与乙方于本受托设立和管理中所知悉的对方商业秘密以及其他未公开的信息，未经许可，任何一方当事人不得自己使用或向第三方透露和使用，但根据法律法规规定或监管部门要求应当进行披露的除外。</w:t>
      </w:r>
    </w:p>
    <w:p w14:paraId="3D5912F4">
      <w:pPr>
        <w:spacing w:line="360" w:lineRule="auto"/>
        <w:ind w:firstLine="440" w:firstLineChars="200"/>
        <w:rPr>
          <w:rFonts w:ascii="宋体" w:hAnsi="宋体" w:cs="宋体"/>
          <w:sz w:val="22"/>
          <w:szCs w:val="22"/>
        </w:rPr>
      </w:pPr>
      <w:r>
        <w:rPr>
          <w:rFonts w:hint="eastAsia" w:ascii="宋体" w:hAnsi="宋体" w:cs="宋体"/>
          <w:sz w:val="22"/>
          <w:szCs w:val="22"/>
        </w:rPr>
        <w:t>17.2  任何一方违反保密义务的约定，应当赔偿由此给另一方造成的损失。</w:t>
      </w:r>
    </w:p>
    <w:p w14:paraId="7AE926CA">
      <w:pPr>
        <w:spacing w:line="360" w:lineRule="auto"/>
        <w:jc w:val="center"/>
        <w:rPr>
          <w:rFonts w:ascii="宋体" w:hAnsi="宋体" w:cs="宋体"/>
          <w:sz w:val="22"/>
          <w:szCs w:val="22"/>
        </w:rPr>
      </w:pPr>
      <w:bookmarkStart w:id="119" w:name="_Toc311041003"/>
      <w:bookmarkStart w:id="120" w:name="_Toc196484092"/>
      <w:bookmarkStart w:id="121" w:name="_Toc319932556"/>
      <w:bookmarkStart w:id="122" w:name="_Toc26352"/>
      <w:r>
        <w:rPr>
          <w:rFonts w:hint="eastAsia" w:ascii="宋体" w:hAnsi="宋体" w:cs="宋体"/>
          <w:sz w:val="22"/>
          <w:szCs w:val="22"/>
        </w:rPr>
        <w:t>第十八章  通知及送达</w:t>
      </w:r>
      <w:bookmarkEnd w:id="119"/>
      <w:bookmarkEnd w:id="120"/>
      <w:bookmarkEnd w:id="121"/>
      <w:bookmarkEnd w:id="122"/>
    </w:p>
    <w:p w14:paraId="4A497DD7">
      <w:pPr>
        <w:spacing w:line="360" w:lineRule="auto"/>
        <w:ind w:firstLine="440" w:firstLineChars="200"/>
        <w:rPr>
          <w:rFonts w:ascii="宋体" w:hAnsi="宋体" w:cs="宋体"/>
          <w:sz w:val="22"/>
          <w:szCs w:val="22"/>
        </w:rPr>
      </w:pPr>
      <w:r>
        <w:rPr>
          <w:rFonts w:hint="eastAsia" w:ascii="宋体" w:hAnsi="宋体" w:cs="宋体"/>
          <w:sz w:val="22"/>
          <w:szCs w:val="22"/>
        </w:rPr>
        <w:t>18.1  甲方与乙方可采取专人送达、挂号邮递、传真或电子邮件等有效方式就受托管理业务相关事项通知对方。</w:t>
      </w:r>
    </w:p>
    <w:p w14:paraId="533B3519">
      <w:pPr>
        <w:spacing w:line="360" w:lineRule="auto"/>
        <w:ind w:firstLine="440" w:firstLineChars="200"/>
        <w:rPr>
          <w:rFonts w:ascii="宋体" w:hAnsi="宋体" w:cs="宋体"/>
          <w:sz w:val="22"/>
          <w:szCs w:val="22"/>
        </w:rPr>
      </w:pPr>
      <w:r>
        <w:rPr>
          <w:rFonts w:hint="eastAsia" w:ascii="宋体" w:hAnsi="宋体" w:cs="宋体"/>
          <w:sz w:val="22"/>
          <w:szCs w:val="22"/>
        </w:rPr>
        <w:t>18.2  通知在下列日期视为送达被通知方：</w:t>
      </w:r>
    </w:p>
    <w:p w14:paraId="0F41ADF1">
      <w:pPr>
        <w:spacing w:line="360" w:lineRule="auto"/>
        <w:ind w:firstLine="440" w:firstLineChars="200"/>
        <w:rPr>
          <w:rFonts w:ascii="宋体" w:hAnsi="宋体" w:cs="宋体"/>
          <w:sz w:val="22"/>
          <w:szCs w:val="22"/>
        </w:rPr>
      </w:pPr>
      <w:r>
        <w:rPr>
          <w:rFonts w:hint="eastAsia" w:ascii="宋体" w:hAnsi="宋体" w:cs="宋体"/>
          <w:sz w:val="22"/>
          <w:szCs w:val="22"/>
        </w:rPr>
        <w:t>18.2.1  专人送达：被通知方签收单中所显示的日期；</w:t>
      </w:r>
    </w:p>
    <w:p w14:paraId="07BEABA4">
      <w:pPr>
        <w:spacing w:line="360" w:lineRule="auto"/>
        <w:ind w:firstLine="440" w:firstLineChars="200"/>
        <w:rPr>
          <w:rFonts w:ascii="宋体" w:hAnsi="宋体" w:cs="宋体"/>
          <w:sz w:val="22"/>
          <w:szCs w:val="22"/>
        </w:rPr>
      </w:pPr>
      <w:r>
        <w:rPr>
          <w:rFonts w:hint="eastAsia" w:ascii="宋体" w:hAnsi="宋体" w:cs="宋体"/>
          <w:sz w:val="22"/>
          <w:szCs w:val="22"/>
        </w:rPr>
        <w:t xml:space="preserve">18.2.2  挂号信或EMS邮递：被送达方的签收日和发出通知方持有的国内挂号函件或EMS收据所示日后的第7日两者中的较早日期； </w:t>
      </w:r>
    </w:p>
    <w:p w14:paraId="322471EA">
      <w:pPr>
        <w:spacing w:line="360" w:lineRule="auto"/>
        <w:ind w:firstLine="440" w:firstLineChars="200"/>
        <w:rPr>
          <w:rFonts w:ascii="宋体" w:hAnsi="宋体" w:cs="宋体"/>
          <w:sz w:val="22"/>
          <w:szCs w:val="22"/>
        </w:rPr>
      </w:pPr>
      <w:r>
        <w:rPr>
          <w:rFonts w:hint="eastAsia" w:ascii="宋体" w:hAnsi="宋体" w:cs="宋体"/>
          <w:sz w:val="22"/>
          <w:szCs w:val="22"/>
        </w:rPr>
        <w:t>18.2.3  传真：对方确认收到后的第1个工作日；</w:t>
      </w:r>
    </w:p>
    <w:p w14:paraId="5EB5FD9F">
      <w:pPr>
        <w:spacing w:line="360" w:lineRule="auto"/>
        <w:ind w:firstLine="440" w:firstLineChars="200"/>
        <w:rPr>
          <w:rFonts w:ascii="宋体" w:hAnsi="宋体" w:cs="宋体"/>
          <w:sz w:val="22"/>
          <w:szCs w:val="22"/>
        </w:rPr>
      </w:pPr>
      <w:r>
        <w:rPr>
          <w:rFonts w:hint="eastAsia" w:ascii="宋体" w:hAnsi="宋体" w:cs="宋体"/>
          <w:sz w:val="22"/>
          <w:szCs w:val="22"/>
        </w:rPr>
        <w:t>18.2.4  电子邮件：数据电文进入对方特定系统的首次时间；</w:t>
      </w:r>
    </w:p>
    <w:p w14:paraId="6C02E295">
      <w:pPr>
        <w:spacing w:line="360" w:lineRule="auto"/>
        <w:ind w:firstLine="440" w:firstLineChars="200"/>
        <w:rPr>
          <w:rFonts w:ascii="宋体" w:hAnsi="宋体" w:cs="宋体"/>
          <w:sz w:val="22"/>
          <w:szCs w:val="22"/>
        </w:rPr>
      </w:pPr>
      <w:r>
        <w:rPr>
          <w:rFonts w:hint="eastAsia" w:ascii="宋体" w:hAnsi="宋体" w:cs="宋体"/>
          <w:sz w:val="22"/>
          <w:szCs w:val="22"/>
        </w:rPr>
        <w:t>18.3  一方通讯地址或联络方式发生变化，应当自发生变化之日起3个工作日内以书面形式通知另一方。</w:t>
      </w:r>
    </w:p>
    <w:p w14:paraId="6F12D8ED">
      <w:pPr>
        <w:spacing w:line="360" w:lineRule="auto"/>
        <w:jc w:val="center"/>
        <w:rPr>
          <w:rFonts w:ascii="宋体" w:hAnsi="宋体" w:cs="宋体"/>
          <w:sz w:val="22"/>
          <w:szCs w:val="22"/>
        </w:rPr>
      </w:pPr>
      <w:bookmarkStart w:id="123" w:name="_Toc2099"/>
      <w:bookmarkStart w:id="124" w:name="_Toc319932557"/>
      <w:bookmarkStart w:id="125" w:name="_Toc311041004"/>
      <w:r>
        <w:rPr>
          <w:rFonts w:hint="eastAsia" w:ascii="宋体" w:hAnsi="宋体" w:cs="宋体"/>
          <w:sz w:val="22"/>
          <w:szCs w:val="22"/>
        </w:rPr>
        <w:t>第十九章  风险提示</w:t>
      </w:r>
      <w:bookmarkEnd w:id="123"/>
      <w:bookmarkEnd w:id="124"/>
      <w:bookmarkEnd w:id="125"/>
    </w:p>
    <w:p w14:paraId="515959BD">
      <w:pPr>
        <w:spacing w:line="360" w:lineRule="auto"/>
        <w:ind w:firstLine="440" w:firstLineChars="200"/>
        <w:rPr>
          <w:rFonts w:ascii="宋体" w:hAnsi="宋体" w:cs="宋体"/>
          <w:sz w:val="22"/>
          <w:szCs w:val="22"/>
        </w:rPr>
      </w:pPr>
      <w:r>
        <w:rPr>
          <w:rFonts w:hint="eastAsia" w:ascii="宋体" w:hAnsi="宋体" w:cs="宋体"/>
          <w:sz w:val="22"/>
          <w:szCs w:val="22"/>
        </w:rPr>
        <w:t>19.1  本合同经人力资源社会保障行政部门审核备案，并不表明其对企业年金基金的价值和收益做出实质性判断或保证，也不表明企业年金基金投资没有风险。</w:t>
      </w:r>
    </w:p>
    <w:p w14:paraId="0E02A1CF">
      <w:pPr>
        <w:spacing w:line="360" w:lineRule="auto"/>
        <w:ind w:firstLine="440" w:firstLineChars="200"/>
        <w:rPr>
          <w:rFonts w:ascii="宋体" w:hAnsi="宋体" w:cs="宋体"/>
          <w:sz w:val="22"/>
          <w:szCs w:val="22"/>
        </w:rPr>
      </w:pPr>
      <w:r>
        <w:rPr>
          <w:rFonts w:hint="eastAsia" w:ascii="宋体" w:hAnsi="宋体" w:cs="宋体"/>
          <w:sz w:val="22"/>
          <w:szCs w:val="22"/>
        </w:rPr>
        <w:t>19.2  甲乙双方已共同认识到：乙方按照法律法规规定及本合同约定的投资范围和投资比例管理运用、处分企业年金基金财产，企业年金基金财产仍有可能面临遭受损失的风险，由此产生的收益或受到的损失，归于企业年金基金财产。</w:t>
      </w:r>
    </w:p>
    <w:p w14:paraId="316A873E">
      <w:pPr>
        <w:spacing w:line="360" w:lineRule="auto"/>
        <w:jc w:val="center"/>
        <w:rPr>
          <w:rFonts w:ascii="宋体" w:hAnsi="宋体" w:cs="宋体"/>
          <w:sz w:val="22"/>
          <w:szCs w:val="22"/>
        </w:rPr>
      </w:pPr>
      <w:bookmarkStart w:id="126" w:name="_Toc319932558"/>
      <w:bookmarkStart w:id="127" w:name="_Toc196484093"/>
      <w:bookmarkStart w:id="128" w:name="_Toc311041005"/>
      <w:bookmarkStart w:id="129" w:name="_Toc889"/>
      <w:r>
        <w:rPr>
          <w:rFonts w:hint="eastAsia" w:ascii="宋体" w:hAnsi="宋体" w:cs="宋体"/>
          <w:sz w:val="22"/>
          <w:szCs w:val="22"/>
        </w:rPr>
        <w:t>第二十章  其他事项</w:t>
      </w:r>
      <w:bookmarkEnd w:id="126"/>
      <w:bookmarkEnd w:id="127"/>
      <w:bookmarkEnd w:id="128"/>
      <w:bookmarkEnd w:id="129"/>
    </w:p>
    <w:p w14:paraId="30B28F14">
      <w:pPr>
        <w:spacing w:line="360" w:lineRule="auto"/>
        <w:ind w:firstLine="440" w:firstLineChars="200"/>
        <w:rPr>
          <w:rFonts w:ascii="宋体" w:hAnsi="宋体" w:cs="宋体"/>
          <w:sz w:val="22"/>
          <w:szCs w:val="22"/>
        </w:rPr>
      </w:pPr>
      <w:r>
        <w:rPr>
          <w:rFonts w:hint="eastAsia" w:ascii="宋体" w:hAnsi="宋体" w:cs="宋体"/>
          <w:sz w:val="22"/>
          <w:szCs w:val="22"/>
        </w:rPr>
        <w:t>20.1  本合同未尽事宜，由双方达成补充协议另行规定；补充协议与本合同具有同等法律效力。</w:t>
      </w:r>
    </w:p>
    <w:p w14:paraId="2590A0DA">
      <w:pPr>
        <w:spacing w:line="360" w:lineRule="auto"/>
        <w:ind w:firstLine="440" w:firstLineChars="200"/>
        <w:rPr>
          <w:rFonts w:ascii="宋体" w:hAnsi="宋体" w:cs="宋体"/>
          <w:sz w:val="22"/>
          <w:szCs w:val="22"/>
        </w:rPr>
      </w:pPr>
      <w:r>
        <w:rPr>
          <w:rFonts w:hint="eastAsia" w:ascii="宋体" w:hAnsi="宋体" w:cs="宋体"/>
          <w:sz w:val="22"/>
          <w:szCs w:val="22"/>
        </w:rPr>
        <w:t>20.2  甲方被兼并或被收购，其在本合同中所承担的权利与义务由兼并方或收购方承担。</w:t>
      </w:r>
    </w:p>
    <w:p w14:paraId="2A52E36C">
      <w:pPr>
        <w:spacing w:line="360" w:lineRule="auto"/>
        <w:ind w:firstLine="440" w:firstLineChars="200"/>
        <w:rPr>
          <w:rFonts w:ascii="宋体" w:hAnsi="宋体" w:cs="宋体"/>
          <w:sz w:val="22"/>
          <w:szCs w:val="22"/>
        </w:rPr>
      </w:pPr>
      <w:r>
        <w:rPr>
          <w:rFonts w:hint="eastAsia" w:ascii="宋体" w:hAnsi="宋体" w:cs="宋体"/>
          <w:sz w:val="22"/>
          <w:szCs w:val="22"/>
        </w:rPr>
        <w:t>20.3  甲方为非企业法人单位的，由甲方负责人或授权代表签署本合同。</w:t>
      </w:r>
    </w:p>
    <w:p w14:paraId="250670DF">
      <w:pPr>
        <w:spacing w:line="360" w:lineRule="auto"/>
        <w:ind w:firstLine="440" w:firstLineChars="200"/>
        <w:rPr>
          <w:rFonts w:ascii="宋体" w:hAnsi="宋体" w:cs="宋体"/>
          <w:sz w:val="22"/>
          <w:szCs w:val="22"/>
        </w:rPr>
      </w:pPr>
      <w:r>
        <w:rPr>
          <w:rFonts w:hint="eastAsia" w:ascii="宋体" w:hAnsi="宋体" w:cs="宋体"/>
          <w:sz w:val="22"/>
          <w:szCs w:val="22"/>
        </w:rPr>
        <w:t>20.4  本合同有效期内，如法律法规规定发生变化导致本合同条款与其有抵触的，相抵触之处按新的法律法规规定执行。</w:t>
      </w:r>
    </w:p>
    <w:p w14:paraId="038802A6">
      <w:pPr>
        <w:spacing w:line="360" w:lineRule="auto"/>
        <w:ind w:firstLine="440" w:firstLineChars="200"/>
        <w:rPr>
          <w:rFonts w:ascii="宋体" w:hAnsi="宋体" w:cs="宋体"/>
          <w:sz w:val="22"/>
          <w:szCs w:val="22"/>
        </w:rPr>
      </w:pPr>
      <w:r>
        <w:rPr>
          <w:rFonts w:hint="eastAsia" w:ascii="宋体" w:hAnsi="宋体" w:cs="宋体"/>
          <w:sz w:val="22"/>
          <w:szCs w:val="22"/>
        </w:rPr>
        <w:t>20.5  本合同有效期内，如法律法规规定发生变化导致本合同需要报人力资源社会保障行政部门审核，由乙方负责办理。</w:t>
      </w:r>
    </w:p>
    <w:p w14:paraId="7D9E6013">
      <w:pPr>
        <w:spacing w:line="360" w:lineRule="auto"/>
        <w:ind w:firstLine="440" w:firstLineChars="200"/>
        <w:rPr>
          <w:rFonts w:ascii="宋体" w:hAnsi="宋体" w:cs="宋体"/>
          <w:sz w:val="22"/>
          <w:szCs w:val="22"/>
        </w:rPr>
      </w:pPr>
      <w:r>
        <w:rPr>
          <w:rFonts w:hint="eastAsia" w:ascii="宋体" w:hAnsi="宋体" w:cs="宋体"/>
          <w:sz w:val="22"/>
          <w:szCs w:val="22"/>
        </w:rPr>
        <w:t>20.6  如果本合同任何条款与相关法律法规规定不符而构成无效，并不影响本合同其他条款的效力。</w:t>
      </w:r>
    </w:p>
    <w:p w14:paraId="6492ABED">
      <w:pPr>
        <w:spacing w:line="360" w:lineRule="auto"/>
        <w:ind w:firstLine="440" w:firstLineChars="200"/>
        <w:rPr>
          <w:rFonts w:ascii="宋体" w:hAnsi="宋体" w:cs="宋体"/>
          <w:sz w:val="22"/>
          <w:szCs w:val="22"/>
        </w:rPr>
      </w:pPr>
      <w:r>
        <w:rPr>
          <w:rFonts w:hint="eastAsia" w:ascii="宋体" w:hAnsi="宋体" w:cs="宋体"/>
          <w:sz w:val="22"/>
          <w:szCs w:val="22"/>
        </w:rPr>
        <w:t>20.7  本合同一式</w:t>
      </w:r>
      <w:r>
        <w:rPr>
          <w:rFonts w:hint="eastAsia" w:ascii="宋体" w:hAnsi="宋体" w:cs="宋体"/>
          <w:sz w:val="22"/>
          <w:szCs w:val="22"/>
          <w:u w:val="single"/>
        </w:rPr>
        <w:t xml:space="preserve">    </w:t>
      </w:r>
      <w:r>
        <w:rPr>
          <w:rFonts w:hint="eastAsia" w:ascii="宋体" w:hAnsi="宋体" w:cs="宋体"/>
          <w:sz w:val="22"/>
          <w:szCs w:val="22"/>
        </w:rPr>
        <w:t>份，由甲方、乙方各执</w:t>
      </w:r>
      <w:r>
        <w:rPr>
          <w:rFonts w:hint="eastAsia" w:ascii="宋体" w:hAnsi="宋体" w:cs="宋体"/>
          <w:b/>
          <w:sz w:val="22"/>
          <w:szCs w:val="22"/>
          <w:u w:val="single"/>
        </w:rPr>
        <w:t xml:space="preserve">    </w:t>
      </w:r>
      <w:r>
        <w:rPr>
          <w:rFonts w:hint="eastAsia" w:ascii="宋体" w:hAnsi="宋体" w:cs="宋体"/>
          <w:sz w:val="22"/>
          <w:szCs w:val="22"/>
        </w:rPr>
        <w:t>份，报人力资源社会保障行政部门备案</w:t>
      </w:r>
      <w:r>
        <w:rPr>
          <w:rFonts w:hint="eastAsia" w:ascii="宋体" w:hAnsi="宋体" w:cs="宋体"/>
          <w:sz w:val="22"/>
          <w:szCs w:val="22"/>
          <w:u w:val="single"/>
        </w:rPr>
        <w:t xml:space="preserve">    </w:t>
      </w:r>
      <w:r>
        <w:rPr>
          <w:rFonts w:hint="eastAsia" w:ascii="宋体" w:hAnsi="宋体" w:cs="宋体"/>
          <w:sz w:val="22"/>
          <w:szCs w:val="22"/>
        </w:rPr>
        <w:t>份，每份具有同等的法律效力。</w:t>
      </w:r>
    </w:p>
    <w:p w14:paraId="77E57108">
      <w:pPr>
        <w:spacing w:line="360" w:lineRule="auto"/>
        <w:ind w:firstLine="440" w:firstLineChars="200"/>
        <w:rPr>
          <w:rFonts w:ascii="宋体" w:hAnsi="宋体" w:cs="宋体"/>
          <w:sz w:val="22"/>
          <w:szCs w:val="22"/>
        </w:rPr>
      </w:pPr>
      <w:r>
        <w:rPr>
          <w:rFonts w:hint="eastAsia" w:ascii="宋体" w:hAnsi="宋体" w:cs="宋体"/>
          <w:sz w:val="22"/>
          <w:szCs w:val="22"/>
        </w:rPr>
        <w:t>（以下是本合同签署页。）</w:t>
      </w:r>
    </w:p>
    <w:p w14:paraId="578312E4">
      <w:pPr>
        <w:spacing w:line="360" w:lineRule="auto"/>
        <w:rPr>
          <w:rFonts w:ascii="宋体" w:hAnsi="宋体" w:cs="宋体"/>
          <w:sz w:val="22"/>
          <w:szCs w:val="22"/>
        </w:rPr>
      </w:pPr>
    </w:p>
    <w:p w14:paraId="5ECB9542">
      <w:pPr>
        <w:spacing w:line="360" w:lineRule="auto"/>
        <w:rPr>
          <w:rFonts w:ascii="宋体" w:hAnsi="宋体" w:cs="宋体"/>
          <w:sz w:val="22"/>
          <w:szCs w:val="22"/>
        </w:rPr>
      </w:pPr>
      <w:r>
        <w:rPr>
          <w:rFonts w:hint="eastAsia" w:ascii="宋体" w:hAnsi="宋体" w:cs="宋体"/>
          <w:sz w:val="22"/>
          <w:szCs w:val="22"/>
        </w:rPr>
        <w:t>（本页是《</w:t>
      </w:r>
      <w:r>
        <w:rPr>
          <w:rFonts w:hint="eastAsia" w:ascii="宋体" w:hAnsi="宋体" w:cs="宋体"/>
          <w:sz w:val="22"/>
          <w:szCs w:val="22"/>
          <w:u w:val="single"/>
        </w:rPr>
        <w:t xml:space="preserve">    </w:t>
      </w:r>
      <w:r>
        <w:rPr>
          <w:rFonts w:hint="eastAsia" w:ascii="宋体" w:hAnsi="宋体" w:cs="宋体"/>
          <w:sz w:val="22"/>
          <w:szCs w:val="22"/>
        </w:rPr>
        <w:t>企业年金计划受托管理合同》签署页。）</w:t>
      </w:r>
    </w:p>
    <w:p w14:paraId="0E1868AD">
      <w:pPr>
        <w:spacing w:line="360" w:lineRule="auto"/>
        <w:rPr>
          <w:rFonts w:ascii="宋体" w:hAnsi="宋体" w:cs="宋体"/>
          <w:sz w:val="22"/>
          <w:szCs w:val="22"/>
        </w:rPr>
      </w:pPr>
    </w:p>
    <w:p w14:paraId="6317C175">
      <w:pPr>
        <w:spacing w:line="360" w:lineRule="auto"/>
        <w:rPr>
          <w:rFonts w:ascii="宋体" w:hAnsi="宋体" w:cs="宋体"/>
          <w:sz w:val="22"/>
          <w:szCs w:val="22"/>
        </w:rPr>
      </w:pPr>
    </w:p>
    <w:p w14:paraId="1F7860B9">
      <w:pPr>
        <w:spacing w:line="360" w:lineRule="auto"/>
        <w:rPr>
          <w:rFonts w:ascii="宋体" w:hAnsi="宋体" w:cs="宋体"/>
          <w:sz w:val="22"/>
          <w:szCs w:val="22"/>
        </w:rPr>
      </w:pPr>
      <w:r>
        <w:rPr>
          <w:rFonts w:hint="eastAsia" w:ascii="宋体" w:hAnsi="宋体" w:cs="宋体"/>
          <w:sz w:val="22"/>
          <w:szCs w:val="22"/>
        </w:rPr>
        <w:t xml:space="preserve">甲方（公章）： </w:t>
      </w:r>
    </w:p>
    <w:p w14:paraId="07EE7E6F">
      <w:pPr>
        <w:spacing w:line="360" w:lineRule="auto"/>
        <w:rPr>
          <w:rFonts w:ascii="宋体" w:hAnsi="宋体" w:cs="宋体"/>
          <w:sz w:val="22"/>
          <w:szCs w:val="22"/>
        </w:rPr>
      </w:pPr>
    </w:p>
    <w:p w14:paraId="4EDE4EDE">
      <w:pPr>
        <w:spacing w:line="360" w:lineRule="auto"/>
        <w:rPr>
          <w:rFonts w:ascii="宋体" w:hAnsi="宋体" w:cs="宋体"/>
          <w:sz w:val="22"/>
          <w:szCs w:val="22"/>
        </w:rPr>
      </w:pPr>
      <w:r>
        <w:rPr>
          <w:rFonts w:hint="eastAsia" w:ascii="宋体" w:hAnsi="宋体" w:cs="宋体"/>
          <w:sz w:val="22"/>
          <w:szCs w:val="22"/>
        </w:rPr>
        <w:t>法定代表人或负责人签字（或签章）：</w:t>
      </w:r>
    </w:p>
    <w:p w14:paraId="36386858">
      <w:pPr>
        <w:spacing w:line="360" w:lineRule="auto"/>
        <w:rPr>
          <w:rFonts w:ascii="宋体" w:hAnsi="宋体" w:cs="宋体"/>
          <w:sz w:val="22"/>
          <w:szCs w:val="22"/>
        </w:rPr>
      </w:pPr>
      <w:r>
        <w:rPr>
          <w:rFonts w:hint="eastAsia" w:ascii="宋体" w:hAnsi="宋体" w:cs="宋体"/>
          <w:sz w:val="22"/>
          <w:szCs w:val="22"/>
        </w:rPr>
        <w:t>（或授权代表）</w:t>
      </w:r>
    </w:p>
    <w:p w14:paraId="477D208A">
      <w:pPr>
        <w:spacing w:line="360" w:lineRule="auto"/>
        <w:rPr>
          <w:rFonts w:ascii="宋体" w:hAnsi="宋体" w:cs="宋体"/>
          <w:sz w:val="22"/>
          <w:szCs w:val="22"/>
        </w:rPr>
      </w:pPr>
    </w:p>
    <w:p w14:paraId="391D0AA9">
      <w:pPr>
        <w:spacing w:line="360" w:lineRule="auto"/>
        <w:rPr>
          <w:rFonts w:ascii="宋体" w:hAnsi="宋体" w:cs="宋体"/>
          <w:sz w:val="22"/>
          <w:szCs w:val="22"/>
        </w:rPr>
      </w:pPr>
      <w:r>
        <w:rPr>
          <w:rFonts w:hint="eastAsia" w:ascii="宋体" w:hAnsi="宋体" w:cs="宋体"/>
          <w:sz w:val="22"/>
          <w:szCs w:val="22"/>
        </w:rPr>
        <w:t>签署日期：       年    月    日</w:t>
      </w:r>
    </w:p>
    <w:p w14:paraId="14623D01">
      <w:pPr>
        <w:spacing w:line="360" w:lineRule="auto"/>
        <w:rPr>
          <w:rFonts w:ascii="宋体" w:hAnsi="宋体" w:cs="宋体"/>
          <w:sz w:val="22"/>
          <w:szCs w:val="22"/>
        </w:rPr>
      </w:pPr>
    </w:p>
    <w:p w14:paraId="004E7304">
      <w:pPr>
        <w:spacing w:line="360" w:lineRule="auto"/>
        <w:rPr>
          <w:rFonts w:ascii="宋体" w:hAnsi="宋体" w:cs="宋体"/>
          <w:sz w:val="22"/>
          <w:szCs w:val="22"/>
        </w:rPr>
      </w:pPr>
    </w:p>
    <w:p w14:paraId="5826163C">
      <w:pPr>
        <w:spacing w:line="360" w:lineRule="auto"/>
        <w:rPr>
          <w:rFonts w:ascii="宋体" w:hAnsi="宋体" w:cs="宋体"/>
          <w:sz w:val="22"/>
          <w:szCs w:val="22"/>
        </w:rPr>
      </w:pPr>
    </w:p>
    <w:p w14:paraId="57B6ADC7">
      <w:pPr>
        <w:spacing w:line="360" w:lineRule="auto"/>
        <w:rPr>
          <w:rFonts w:ascii="宋体" w:hAnsi="宋体" w:cs="宋体"/>
          <w:sz w:val="22"/>
          <w:szCs w:val="22"/>
        </w:rPr>
      </w:pPr>
      <w:r>
        <w:rPr>
          <w:rFonts w:hint="eastAsia" w:ascii="宋体" w:hAnsi="宋体" w:cs="宋体"/>
          <w:sz w:val="22"/>
          <w:szCs w:val="22"/>
        </w:rPr>
        <w:t>乙方（公章）：</w:t>
      </w:r>
    </w:p>
    <w:p w14:paraId="02A33BCD">
      <w:pPr>
        <w:spacing w:line="360" w:lineRule="auto"/>
        <w:rPr>
          <w:rFonts w:ascii="宋体" w:hAnsi="宋体" w:cs="宋体"/>
          <w:sz w:val="22"/>
          <w:szCs w:val="22"/>
        </w:rPr>
      </w:pPr>
    </w:p>
    <w:p w14:paraId="627A0EA1">
      <w:pPr>
        <w:spacing w:line="360" w:lineRule="auto"/>
        <w:rPr>
          <w:rFonts w:ascii="宋体" w:hAnsi="宋体" w:cs="宋体"/>
          <w:sz w:val="22"/>
          <w:szCs w:val="22"/>
        </w:rPr>
      </w:pPr>
      <w:r>
        <w:rPr>
          <w:rFonts w:hint="eastAsia" w:ascii="宋体" w:hAnsi="宋体" w:cs="宋体"/>
          <w:sz w:val="22"/>
          <w:szCs w:val="22"/>
        </w:rPr>
        <w:t>法定代表人（或授权代表）签字（或签章）：</w:t>
      </w:r>
    </w:p>
    <w:p w14:paraId="2740155F">
      <w:pPr>
        <w:spacing w:line="360" w:lineRule="auto"/>
        <w:rPr>
          <w:rFonts w:ascii="宋体" w:hAnsi="宋体" w:cs="宋体"/>
          <w:sz w:val="22"/>
          <w:szCs w:val="22"/>
        </w:rPr>
      </w:pPr>
    </w:p>
    <w:p w14:paraId="4AAA8FC4">
      <w:pPr>
        <w:spacing w:line="360" w:lineRule="auto"/>
        <w:rPr>
          <w:rFonts w:ascii="宋体" w:hAnsi="宋体" w:cs="宋体"/>
          <w:sz w:val="22"/>
          <w:szCs w:val="22"/>
        </w:rPr>
      </w:pPr>
      <w:r>
        <w:rPr>
          <w:rFonts w:hint="eastAsia" w:ascii="宋体" w:hAnsi="宋体" w:cs="宋体"/>
          <w:sz w:val="22"/>
          <w:szCs w:val="22"/>
        </w:rPr>
        <w:t>签署日期：        年    月    日</w:t>
      </w:r>
    </w:p>
    <w:p w14:paraId="7FD68476">
      <w:pPr>
        <w:rPr>
          <w:rFonts w:ascii="宋体" w:hAnsi="宋体" w:cs="宋体"/>
        </w:rPr>
        <w:sectPr>
          <w:footnotePr>
            <w:numRestart w:val="eachPage"/>
          </w:footnotePr>
          <w:endnotePr>
            <w:numRestart w:val="eachSect"/>
          </w:endnotePr>
          <w:pgSz w:w="11907" w:h="16840"/>
          <w:pgMar w:top="1418" w:right="1418" w:bottom="1418" w:left="1588" w:header="851" w:footer="839" w:gutter="0"/>
          <w:cols w:space="720" w:num="1"/>
          <w:docGrid w:linePitch="435" w:charSpace="-6554"/>
        </w:sectPr>
      </w:pPr>
    </w:p>
    <w:p w14:paraId="73BE6253">
      <w:pPr>
        <w:spacing w:line="360" w:lineRule="auto"/>
        <w:jc w:val="center"/>
        <w:outlineLvl w:val="0"/>
        <w:rPr>
          <w:rFonts w:ascii="宋体" w:hAnsi="宋体" w:cs="宋体"/>
          <w:b/>
          <w:sz w:val="36"/>
          <w:szCs w:val="36"/>
        </w:rPr>
      </w:pPr>
      <w:r>
        <w:rPr>
          <w:rFonts w:hint="eastAsia" w:ascii="宋体" w:hAnsi="宋体" w:cs="宋体"/>
          <w:b/>
          <w:sz w:val="36"/>
          <w:szCs w:val="36"/>
        </w:rPr>
        <w:t>第六章 响应文件格式附件</w:t>
      </w:r>
    </w:p>
    <w:p w14:paraId="21273A89">
      <w:pPr>
        <w:rPr>
          <w:rFonts w:ascii="宋体" w:hAnsi="宋体" w:cs="宋体"/>
          <w:b/>
          <w:kern w:val="0"/>
          <w:sz w:val="28"/>
          <w:szCs w:val="28"/>
        </w:rPr>
      </w:pPr>
      <w:r>
        <w:rPr>
          <w:rFonts w:hint="eastAsia" w:ascii="宋体" w:hAnsi="宋体" w:cs="宋体"/>
          <w:b/>
          <w:kern w:val="0"/>
          <w:sz w:val="28"/>
          <w:szCs w:val="28"/>
        </w:rPr>
        <w:t>附件1</w:t>
      </w:r>
      <w:r>
        <w:rPr>
          <w:rFonts w:hint="eastAsia" w:ascii="宋体" w:hAnsi="宋体" w:cs="宋体"/>
          <w:b/>
          <w:sz w:val="30"/>
          <w:szCs w:val="30"/>
        </w:rPr>
        <w:t xml:space="preserve">                             </w:t>
      </w:r>
      <w:r>
        <w:rPr>
          <w:rFonts w:hint="eastAsia" w:ascii="宋体" w:hAnsi="宋体" w:cs="宋体"/>
          <w:sz w:val="30"/>
          <w:szCs w:val="30"/>
        </w:rPr>
        <w:t xml:space="preserve"> 　　　</w:t>
      </w:r>
      <w:r>
        <w:rPr>
          <w:rFonts w:hint="eastAsia" w:ascii="宋体" w:hAnsi="宋体" w:cs="宋体"/>
          <w:b/>
          <w:sz w:val="28"/>
        </w:rPr>
        <w:t xml:space="preserve">        </w:t>
      </w:r>
      <w:r>
        <w:rPr>
          <w:rFonts w:hint="eastAsia" w:ascii="宋体" w:hAnsi="宋体" w:cs="宋体"/>
          <w:b/>
          <w:sz w:val="28"/>
          <w:u w:val="single"/>
        </w:rPr>
        <w:t xml:space="preserve">     </w:t>
      </w:r>
      <w:r>
        <w:rPr>
          <w:rFonts w:hint="eastAsia" w:ascii="宋体" w:hAnsi="宋体" w:cs="宋体"/>
          <w:bCs/>
          <w:sz w:val="24"/>
        </w:rPr>
        <w:t>本</w:t>
      </w:r>
    </w:p>
    <w:p w14:paraId="0A611CF1">
      <w:pPr>
        <w:ind w:right="-110"/>
        <w:jc w:val="center"/>
        <w:rPr>
          <w:rFonts w:ascii="宋体" w:hAnsi="宋体" w:cs="宋体"/>
          <w:spacing w:val="40"/>
          <w:sz w:val="52"/>
          <w:szCs w:val="52"/>
        </w:rPr>
      </w:pPr>
    </w:p>
    <w:p w14:paraId="5630B5AC">
      <w:pPr>
        <w:spacing w:line="360" w:lineRule="auto"/>
        <w:ind w:right="-110"/>
        <w:jc w:val="center"/>
        <w:rPr>
          <w:rFonts w:ascii="宋体" w:hAnsi="宋体" w:cs="宋体"/>
          <w:spacing w:val="40"/>
          <w:sz w:val="52"/>
          <w:szCs w:val="52"/>
        </w:rPr>
      </w:pPr>
      <w:r>
        <w:rPr>
          <w:rFonts w:hint="eastAsia" w:ascii="宋体" w:hAnsi="宋体" w:cs="宋体"/>
          <w:spacing w:val="40"/>
          <w:sz w:val="52"/>
          <w:szCs w:val="52"/>
        </w:rPr>
        <w:t>项目名称</w:t>
      </w:r>
    </w:p>
    <w:p w14:paraId="49016124">
      <w:pPr>
        <w:spacing w:before="312" w:beforeLines="100" w:line="360" w:lineRule="auto"/>
        <w:ind w:right="-108" w:firstLine="2160" w:firstLineChars="600"/>
        <w:rPr>
          <w:rFonts w:ascii="宋体" w:hAnsi="宋体" w:cs="宋体"/>
          <w:sz w:val="36"/>
          <w:szCs w:val="36"/>
        </w:rPr>
      </w:pPr>
      <w:r>
        <w:rPr>
          <w:rFonts w:hint="eastAsia" w:ascii="宋体" w:hAnsi="宋体" w:cs="宋体"/>
          <w:sz w:val="36"/>
          <w:szCs w:val="36"/>
        </w:rPr>
        <w:t>项目编号：</w:t>
      </w:r>
      <w:r>
        <w:rPr>
          <w:rFonts w:hint="eastAsia" w:ascii="宋体" w:hAnsi="宋体" w:cs="宋体"/>
          <w:sz w:val="36"/>
          <w:szCs w:val="36"/>
          <w:u w:val="single"/>
        </w:rPr>
        <w:t xml:space="preserve">            </w:t>
      </w:r>
    </w:p>
    <w:p w14:paraId="4A52D439">
      <w:pPr>
        <w:spacing w:before="312" w:beforeLines="100" w:line="240" w:lineRule="atLeast"/>
        <w:ind w:right="-108"/>
        <w:jc w:val="center"/>
        <w:rPr>
          <w:rFonts w:ascii="宋体" w:hAnsi="宋体" w:cs="宋体"/>
          <w:sz w:val="32"/>
          <w:szCs w:val="32"/>
        </w:rPr>
      </w:pPr>
    </w:p>
    <w:p w14:paraId="2AE6D3EF">
      <w:pPr>
        <w:spacing w:after="100" w:afterAutospacing="1" w:line="800" w:lineRule="exact"/>
        <w:ind w:right="-108"/>
        <w:jc w:val="center"/>
        <w:rPr>
          <w:rFonts w:ascii="宋体" w:hAnsi="宋体" w:cs="宋体"/>
          <w:b/>
          <w:spacing w:val="40"/>
          <w:sz w:val="72"/>
          <w:szCs w:val="72"/>
        </w:rPr>
      </w:pPr>
      <w:r>
        <w:rPr>
          <w:rFonts w:hint="eastAsia" w:ascii="宋体" w:hAnsi="宋体" w:cs="宋体"/>
          <w:b/>
          <w:spacing w:val="40"/>
          <w:sz w:val="72"/>
          <w:szCs w:val="72"/>
        </w:rPr>
        <w:t>磋</w:t>
      </w:r>
    </w:p>
    <w:p w14:paraId="1402000B">
      <w:pPr>
        <w:spacing w:after="100" w:afterAutospacing="1" w:line="800" w:lineRule="exact"/>
        <w:ind w:right="-108"/>
        <w:jc w:val="center"/>
        <w:rPr>
          <w:rFonts w:ascii="宋体" w:hAnsi="宋体" w:cs="宋体"/>
          <w:b/>
          <w:spacing w:val="40"/>
          <w:sz w:val="72"/>
          <w:szCs w:val="72"/>
        </w:rPr>
      </w:pPr>
      <w:r>
        <w:rPr>
          <w:rFonts w:hint="eastAsia" w:ascii="宋体" w:hAnsi="宋体" w:cs="宋体"/>
          <w:b/>
          <w:spacing w:val="40"/>
          <w:sz w:val="72"/>
          <w:szCs w:val="72"/>
        </w:rPr>
        <w:t>商</w:t>
      </w:r>
    </w:p>
    <w:p w14:paraId="47906E50">
      <w:pPr>
        <w:spacing w:after="100" w:afterAutospacing="1" w:line="800" w:lineRule="exact"/>
        <w:ind w:right="-108"/>
        <w:jc w:val="center"/>
        <w:rPr>
          <w:rFonts w:ascii="宋体" w:hAnsi="宋体" w:cs="宋体"/>
          <w:b/>
          <w:spacing w:val="40"/>
          <w:sz w:val="72"/>
          <w:szCs w:val="72"/>
        </w:rPr>
      </w:pPr>
      <w:r>
        <w:rPr>
          <w:rFonts w:hint="eastAsia" w:ascii="宋体" w:hAnsi="宋体" w:cs="宋体"/>
          <w:b/>
          <w:spacing w:val="40"/>
          <w:sz w:val="72"/>
          <w:szCs w:val="72"/>
        </w:rPr>
        <w:t>响</w:t>
      </w:r>
    </w:p>
    <w:p w14:paraId="38043EFD">
      <w:pPr>
        <w:spacing w:after="100" w:afterAutospacing="1" w:line="800" w:lineRule="exact"/>
        <w:ind w:right="-108"/>
        <w:jc w:val="center"/>
        <w:rPr>
          <w:rFonts w:ascii="宋体" w:hAnsi="宋体" w:cs="宋体"/>
          <w:b/>
          <w:spacing w:val="40"/>
          <w:sz w:val="72"/>
          <w:szCs w:val="72"/>
        </w:rPr>
      </w:pPr>
      <w:r>
        <w:rPr>
          <w:rFonts w:hint="eastAsia" w:ascii="宋体" w:hAnsi="宋体" w:cs="宋体"/>
          <w:b/>
          <w:spacing w:val="40"/>
          <w:sz w:val="72"/>
          <w:szCs w:val="72"/>
        </w:rPr>
        <w:t>应</w:t>
      </w:r>
    </w:p>
    <w:p w14:paraId="2067DF2F">
      <w:pPr>
        <w:spacing w:after="100" w:afterAutospacing="1" w:line="800" w:lineRule="exact"/>
        <w:ind w:right="-108"/>
        <w:jc w:val="center"/>
        <w:rPr>
          <w:rFonts w:ascii="宋体" w:hAnsi="宋体" w:cs="宋体"/>
          <w:b/>
          <w:spacing w:val="40"/>
          <w:sz w:val="72"/>
          <w:szCs w:val="72"/>
        </w:rPr>
      </w:pPr>
      <w:r>
        <w:rPr>
          <w:rFonts w:hint="eastAsia" w:ascii="宋体" w:hAnsi="宋体" w:cs="宋体"/>
          <w:b/>
          <w:spacing w:val="40"/>
          <w:sz w:val="72"/>
          <w:szCs w:val="72"/>
        </w:rPr>
        <w:t>文</w:t>
      </w:r>
    </w:p>
    <w:p w14:paraId="7CC2D952">
      <w:pPr>
        <w:spacing w:after="100" w:afterAutospacing="1" w:line="800" w:lineRule="exact"/>
        <w:ind w:right="-108"/>
        <w:jc w:val="center"/>
        <w:rPr>
          <w:rFonts w:ascii="宋体" w:hAnsi="宋体" w:cs="宋体"/>
          <w:b/>
          <w:spacing w:val="40"/>
          <w:sz w:val="72"/>
          <w:szCs w:val="72"/>
        </w:rPr>
      </w:pPr>
      <w:r>
        <w:rPr>
          <w:rFonts w:hint="eastAsia" w:ascii="宋体" w:hAnsi="宋体" w:cs="宋体"/>
          <w:b/>
          <w:spacing w:val="40"/>
          <w:sz w:val="72"/>
          <w:szCs w:val="72"/>
        </w:rPr>
        <w:t>件</w:t>
      </w:r>
    </w:p>
    <w:p w14:paraId="1FDFFBA3">
      <w:pPr>
        <w:spacing w:line="500" w:lineRule="exact"/>
        <w:ind w:right="532"/>
        <w:jc w:val="center"/>
        <w:rPr>
          <w:rFonts w:ascii="宋体" w:hAnsi="宋体" w:cs="宋体"/>
          <w:sz w:val="36"/>
          <w:szCs w:val="36"/>
        </w:rPr>
      </w:pPr>
    </w:p>
    <w:p w14:paraId="7B4C239B">
      <w:pPr>
        <w:spacing w:line="500" w:lineRule="exact"/>
        <w:ind w:right="532" w:firstLine="640" w:firstLineChars="200"/>
        <w:rPr>
          <w:rFonts w:ascii="宋体" w:hAnsi="宋体" w:cs="宋体"/>
          <w:sz w:val="32"/>
          <w:szCs w:val="32"/>
        </w:rPr>
      </w:pPr>
      <w:r>
        <w:rPr>
          <w:rFonts w:hint="eastAsia" w:ascii="宋体" w:hAnsi="宋体" w:cs="宋体"/>
          <w:sz w:val="32"/>
          <w:szCs w:val="32"/>
        </w:rPr>
        <w:t>供应商全称（公章）：</w:t>
      </w:r>
    </w:p>
    <w:p w14:paraId="2E6C9326">
      <w:pPr>
        <w:wordWrap w:val="0"/>
        <w:spacing w:line="500" w:lineRule="exact"/>
        <w:ind w:right="-108" w:firstLine="640" w:firstLineChars="200"/>
        <w:rPr>
          <w:rFonts w:ascii="宋体" w:hAnsi="宋体" w:cs="宋体"/>
          <w:sz w:val="32"/>
          <w:szCs w:val="32"/>
        </w:rPr>
      </w:pPr>
      <w:r>
        <w:rPr>
          <w:rFonts w:hint="eastAsia" w:ascii="宋体" w:hAnsi="宋体" w:cs="宋体"/>
          <w:sz w:val="32"/>
          <w:szCs w:val="32"/>
        </w:rPr>
        <w:t>地    址：</w:t>
      </w:r>
    </w:p>
    <w:p w14:paraId="4D96F9D1">
      <w:pPr>
        <w:wordWrap w:val="0"/>
        <w:spacing w:line="500" w:lineRule="exact"/>
        <w:ind w:right="-108" w:firstLine="640" w:firstLineChars="200"/>
        <w:rPr>
          <w:rFonts w:ascii="宋体" w:hAnsi="宋体" w:cs="宋体"/>
          <w:b/>
          <w:bCs/>
          <w:sz w:val="28"/>
          <w:szCs w:val="28"/>
        </w:rPr>
      </w:pPr>
      <w:r>
        <w:rPr>
          <w:rFonts w:hint="eastAsia" w:ascii="宋体" w:hAnsi="宋体" w:cs="宋体"/>
          <w:sz w:val="32"/>
          <w:szCs w:val="32"/>
          <w:lang w:val="en-US" w:eastAsia="zh-CN"/>
        </w:rPr>
        <w:t>日</w:t>
      </w:r>
      <w:r>
        <w:rPr>
          <w:rFonts w:hint="eastAsia" w:ascii="宋体" w:hAnsi="宋体" w:cs="宋体"/>
          <w:sz w:val="32"/>
          <w:szCs w:val="32"/>
        </w:rPr>
        <w:t xml:space="preserve">    </w:t>
      </w:r>
      <w:r>
        <w:rPr>
          <w:rFonts w:hint="eastAsia" w:ascii="宋体" w:hAnsi="宋体" w:cs="宋体"/>
          <w:sz w:val="32"/>
          <w:szCs w:val="32"/>
          <w:lang w:val="en-US" w:eastAsia="zh-CN"/>
        </w:rPr>
        <w:t>期</w:t>
      </w:r>
      <w:r>
        <w:rPr>
          <w:rFonts w:hint="eastAsia" w:ascii="宋体" w:hAnsi="宋体" w:cs="宋体"/>
          <w:sz w:val="32"/>
          <w:szCs w:val="32"/>
        </w:rPr>
        <w:t>：</w:t>
      </w:r>
    </w:p>
    <w:p w14:paraId="5E7E571D">
      <w:pPr>
        <w:spacing w:line="360" w:lineRule="auto"/>
        <w:rPr>
          <w:rFonts w:ascii="宋体" w:hAnsi="宋体" w:cs="宋体"/>
          <w:b/>
          <w:sz w:val="28"/>
        </w:rPr>
      </w:pPr>
      <w:r>
        <w:rPr>
          <w:rFonts w:hint="eastAsia" w:ascii="宋体" w:hAnsi="宋体" w:cs="宋体"/>
          <w:b/>
          <w:sz w:val="28"/>
        </w:rPr>
        <w:t>附件2</w:t>
      </w:r>
    </w:p>
    <w:p w14:paraId="74762CC3">
      <w:pPr>
        <w:snapToGrid w:val="0"/>
        <w:spacing w:before="156" w:beforeLines="50" w:after="50" w:line="360" w:lineRule="auto"/>
        <w:ind w:firstLine="643" w:firstLineChars="200"/>
        <w:jc w:val="center"/>
        <w:rPr>
          <w:rStyle w:val="28"/>
          <w:rFonts w:ascii="宋体" w:hAnsi="宋体" w:cs="宋体"/>
          <w:b/>
          <w:color w:val="auto"/>
          <w:sz w:val="32"/>
          <w:szCs w:val="32"/>
          <w:highlight w:val="none"/>
          <w:u w:val="none"/>
        </w:rPr>
      </w:pPr>
      <w:r>
        <w:rPr>
          <w:rStyle w:val="28"/>
          <w:rFonts w:hint="eastAsia" w:ascii="宋体" w:hAnsi="宋体" w:cs="宋体"/>
          <w:b/>
          <w:color w:val="auto"/>
          <w:sz w:val="32"/>
          <w:szCs w:val="32"/>
          <w:highlight w:val="none"/>
          <w:u w:val="none"/>
        </w:rPr>
        <w:t>磋商声明书</w:t>
      </w:r>
    </w:p>
    <w:p w14:paraId="7C415484">
      <w:pPr>
        <w:spacing w:line="360" w:lineRule="auto"/>
        <w:rPr>
          <w:rFonts w:ascii="宋体" w:hAnsi="宋体" w:cs="宋体"/>
          <w:szCs w:val="21"/>
          <w:highlight w:val="none"/>
          <w:u w:val="single"/>
        </w:rPr>
      </w:pPr>
      <w:r>
        <w:rPr>
          <w:rFonts w:hint="eastAsia" w:ascii="宋体" w:hAnsi="宋体" w:cs="宋体"/>
          <w:szCs w:val="21"/>
          <w:highlight w:val="none"/>
          <w:u w:val="single"/>
          <w:lang w:eastAsia="zh-CN"/>
        </w:rPr>
        <w:t>杭州国宇物产管理有限公司</w:t>
      </w:r>
      <w:r>
        <w:rPr>
          <w:rFonts w:hint="eastAsia" w:ascii="宋体" w:hAnsi="宋体" w:cs="宋体"/>
          <w:szCs w:val="21"/>
          <w:highlight w:val="none"/>
          <w:u w:val="single"/>
        </w:rPr>
        <w:t>：</w:t>
      </w:r>
    </w:p>
    <w:p w14:paraId="33BD1CEE">
      <w:pPr>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szCs w:val="21"/>
          <w:highlight w:val="none"/>
          <w:u w:val="single"/>
        </w:rPr>
        <w:t xml:space="preserve"> 供应商名称 </w:t>
      </w:r>
      <w:r>
        <w:rPr>
          <w:rFonts w:hint="eastAsia" w:ascii="宋体" w:hAnsi="宋体" w:cs="宋体"/>
          <w:szCs w:val="21"/>
          <w:highlight w:val="none"/>
        </w:rPr>
        <w:t>）系中华人民共和国合法企业，经营地址</w:t>
      </w:r>
      <w:r>
        <w:rPr>
          <w:rFonts w:hint="eastAsia" w:ascii="宋体" w:hAnsi="宋体" w:cs="宋体"/>
          <w:kern w:val="0"/>
          <w:szCs w:val="21"/>
          <w:highlight w:val="none"/>
        </w:rPr>
        <w:t>。</w:t>
      </w:r>
    </w:p>
    <w:p w14:paraId="154D816C">
      <w:pPr>
        <w:snapToGrid w:val="0"/>
        <w:spacing w:before="156" w:beforeLines="50" w:after="50"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w:t>
      </w:r>
      <w:r>
        <w:rPr>
          <w:rFonts w:hint="eastAsia" w:ascii="宋体" w:hAnsi="宋体" w:cs="宋体"/>
          <w:kern w:val="0"/>
          <w:szCs w:val="21"/>
          <w:highlight w:val="none"/>
          <w:u w:val="single"/>
        </w:rPr>
        <w:t xml:space="preserve"> 姓名 </w:t>
      </w:r>
      <w:r>
        <w:rPr>
          <w:rFonts w:hint="eastAsia" w:ascii="宋体" w:hAnsi="宋体" w:cs="宋体"/>
          <w:kern w:val="0"/>
          <w:szCs w:val="21"/>
          <w:highlight w:val="none"/>
        </w:rPr>
        <w:t>）系（</w:t>
      </w:r>
      <w:r>
        <w:rPr>
          <w:rFonts w:hint="eastAsia" w:ascii="宋体" w:hAnsi="宋体" w:cs="宋体"/>
          <w:kern w:val="0"/>
          <w:szCs w:val="21"/>
          <w:highlight w:val="none"/>
          <w:u w:val="single"/>
        </w:rPr>
        <w:t xml:space="preserve"> 供应商名称 </w:t>
      </w:r>
      <w:r>
        <w:rPr>
          <w:rFonts w:hint="eastAsia" w:ascii="宋体" w:hAnsi="宋体" w:cs="宋体"/>
          <w:kern w:val="0"/>
          <w:szCs w:val="21"/>
          <w:highlight w:val="none"/>
        </w:rPr>
        <w:t>）的法定代表人，我公司自愿参加贵方组织的</w:t>
      </w:r>
      <w:r>
        <w:rPr>
          <w:rFonts w:hint="eastAsia" w:ascii="宋体" w:hAnsi="宋体" w:cs="宋体"/>
          <w:kern w:val="0"/>
          <w:szCs w:val="21"/>
          <w:highlight w:val="none"/>
          <w:u w:val="single"/>
          <w:lang w:eastAsia="zh-CN"/>
        </w:rPr>
        <w:t>杭州国宇物产管理有限公司</w:t>
      </w:r>
      <w:r>
        <w:rPr>
          <w:rFonts w:hint="eastAsia" w:ascii="宋体" w:hAnsi="宋体" w:cs="宋体"/>
          <w:kern w:val="0"/>
          <w:szCs w:val="21"/>
          <w:highlight w:val="none"/>
          <w:u w:val="single"/>
        </w:rPr>
        <w:t>企业年金基金受托管理服务项目</w:t>
      </w:r>
      <w:r>
        <w:rPr>
          <w:rFonts w:hint="eastAsia" w:ascii="宋体" w:hAnsi="宋体" w:cs="宋体"/>
          <w:kern w:val="0"/>
          <w:szCs w:val="21"/>
          <w:highlight w:val="none"/>
        </w:rPr>
        <w:t>的磋商，为此，我公司就本次磋商有关事项郑重声明如下：</w:t>
      </w:r>
    </w:p>
    <w:p w14:paraId="2AD941E6">
      <w:pPr>
        <w:snapToGrid w:val="0"/>
        <w:spacing w:before="156" w:beforeLines="50" w:after="50" w:line="360" w:lineRule="auto"/>
        <w:ind w:firstLine="420" w:firstLineChars="200"/>
        <w:rPr>
          <w:rFonts w:ascii="宋体" w:hAnsi="宋体" w:cs="宋体"/>
          <w:b/>
          <w:kern w:val="0"/>
          <w:szCs w:val="21"/>
          <w:highlight w:val="none"/>
        </w:rPr>
      </w:pPr>
      <w:r>
        <w:rPr>
          <w:rFonts w:hint="eastAsia" w:ascii="宋体" w:hAnsi="宋体" w:cs="宋体"/>
          <w:szCs w:val="21"/>
          <w:highlight w:val="none"/>
        </w:rPr>
        <w:t>一、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092E6F34">
      <w:pPr>
        <w:snapToGrid w:val="0"/>
        <w:spacing w:before="156" w:beforeLines="50" w:after="50"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二、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C2004DF">
      <w:pPr>
        <w:snapToGrid w:val="0"/>
        <w:spacing w:before="156" w:beforeLines="50" w:after="50" w:line="360" w:lineRule="auto"/>
        <w:ind w:firstLine="420" w:firstLineChars="200"/>
        <w:rPr>
          <w:rFonts w:ascii="宋体" w:hAnsi="宋体" w:cs="宋体"/>
          <w:szCs w:val="21"/>
          <w:highlight w:val="none"/>
        </w:rPr>
      </w:pPr>
      <w:r>
        <w:rPr>
          <w:rFonts w:hint="eastAsia" w:ascii="宋体" w:hAnsi="宋体" w:cs="宋体"/>
          <w:szCs w:val="21"/>
          <w:highlight w:val="none"/>
        </w:rPr>
        <w:t>三、我</w:t>
      </w:r>
      <w:r>
        <w:rPr>
          <w:rFonts w:hint="eastAsia" w:ascii="宋体" w:hAnsi="宋体" w:cs="宋体"/>
          <w:kern w:val="0"/>
          <w:szCs w:val="21"/>
          <w:highlight w:val="none"/>
          <w:lang w:val="zh-CN"/>
        </w:rPr>
        <w:t>公司</w:t>
      </w:r>
      <w:r>
        <w:rPr>
          <w:rFonts w:hint="eastAsia" w:ascii="宋体" w:hAnsi="宋体" w:cs="宋体"/>
          <w:szCs w:val="21"/>
          <w:highlight w:val="none"/>
        </w:rPr>
        <w:t>不是采购人的附属机构；在获知本项目采购信息后，与采购人聘请的为此项目提供咨询服务的公司及其附属机构没有任何联系。</w:t>
      </w:r>
    </w:p>
    <w:p w14:paraId="2150037A">
      <w:pPr>
        <w:snapToGrid w:val="0"/>
        <w:spacing w:before="156" w:beforeLines="50" w:after="50" w:line="360" w:lineRule="auto"/>
        <w:ind w:firstLine="420" w:firstLineChars="200"/>
        <w:rPr>
          <w:rFonts w:ascii="宋体" w:hAnsi="宋体" w:cs="宋体"/>
          <w:kern w:val="0"/>
          <w:szCs w:val="21"/>
          <w:highlight w:val="none"/>
          <w:lang w:val="af-ZA"/>
        </w:rPr>
      </w:pPr>
      <w:r>
        <w:rPr>
          <w:rFonts w:hint="eastAsia" w:ascii="宋体" w:hAnsi="宋体" w:cs="宋体"/>
          <w:szCs w:val="21"/>
          <w:highlight w:val="none"/>
        </w:rPr>
        <w:t>四、</w:t>
      </w:r>
      <w:r>
        <w:rPr>
          <w:rFonts w:hint="eastAsia" w:ascii="宋体" w:hAnsi="宋体" w:cs="宋体"/>
          <w:kern w:val="0"/>
          <w:szCs w:val="21"/>
          <w:highlight w:val="none"/>
        </w:rPr>
        <w:t>我</w:t>
      </w:r>
      <w:r>
        <w:rPr>
          <w:rFonts w:hint="eastAsia" w:ascii="宋体" w:hAnsi="宋体" w:cs="宋体"/>
          <w:kern w:val="0"/>
          <w:szCs w:val="21"/>
          <w:highlight w:val="none"/>
          <w:lang w:val="zh-CN"/>
        </w:rPr>
        <w:t>公司</w:t>
      </w:r>
      <w:r>
        <w:rPr>
          <w:rFonts w:hint="eastAsia" w:ascii="宋体" w:hAnsi="宋体" w:cs="宋体"/>
          <w:kern w:val="0"/>
          <w:szCs w:val="21"/>
          <w:highlight w:val="none"/>
        </w:rPr>
        <w:t>保证，</w:t>
      </w:r>
      <w:r>
        <w:rPr>
          <w:rFonts w:hint="eastAsia" w:ascii="宋体" w:hAnsi="宋体" w:cs="宋体"/>
          <w:kern w:val="0"/>
          <w:szCs w:val="21"/>
          <w:highlight w:val="none"/>
          <w:lang w:val="af-ZA"/>
        </w:rPr>
        <w:t>采购人在中华人民共和国境内使用</w:t>
      </w:r>
      <w:r>
        <w:rPr>
          <w:rFonts w:hint="eastAsia" w:ascii="宋体" w:hAnsi="宋体" w:cs="宋体"/>
          <w:kern w:val="0"/>
          <w:szCs w:val="21"/>
          <w:highlight w:val="none"/>
        </w:rPr>
        <w:t>我</w:t>
      </w:r>
      <w:r>
        <w:rPr>
          <w:rFonts w:hint="eastAsia" w:ascii="宋体" w:hAnsi="宋体" w:cs="宋体"/>
          <w:kern w:val="0"/>
          <w:szCs w:val="21"/>
          <w:highlight w:val="none"/>
          <w:lang w:val="zh-CN"/>
        </w:rPr>
        <w:t>公司</w:t>
      </w:r>
      <w:r>
        <w:rPr>
          <w:rFonts w:hint="eastAsia" w:ascii="宋体" w:hAnsi="宋体" w:cs="宋体"/>
          <w:kern w:val="0"/>
          <w:szCs w:val="21"/>
          <w:highlight w:val="none"/>
          <w:lang w:val="af-ZA"/>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31DD4486">
      <w:pPr>
        <w:snapToGrid w:val="0"/>
        <w:spacing w:before="156" w:beforeLines="50" w:after="50" w:line="360" w:lineRule="auto"/>
        <w:ind w:firstLine="420" w:firstLineChars="200"/>
        <w:rPr>
          <w:rFonts w:ascii="宋体" w:hAnsi="宋体" w:cs="宋体"/>
          <w:szCs w:val="21"/>
          <w:highlight w:val="none"/>
        </w:rPr>
      </w:pPr>
      <w:r>
        <w:rPr>
          <w:rFonts w:hint="eastAsia" w:ascii="宋体" w:hAnsi="宋体" w:cs="宋体"/>
          <w:kern w:val="0"/>
          <w:szCs w:val="21"/>
          <w:highlight w:val="none"/>
        </w:rPr>
        <w:t>五</w:t>
      </w:r>
      <w:r>
        <w:rPr>
          <w:rFonts w:hint="eastAsia" w:ascii="宋体" w:hAnsi="宋体" w:cs="宋体"/>
          <w:kern w:val="0"/>
          <w:szCs w:val="21"/>
          <w:highlight w:val="none"/>
          <w:lang w:val="af-ZA"/>
        </w:rPr>
        <w:t>、我</w:t>
      </w:r>
      <w:r>
        <w:rPr>
          <w:rFonts w:hint="eastAsia" w:ascii="宋体" w:hAnsi="宋体" w:cs="宋体"/>
          <w:kern w:val="0"/>
          <w:szCs w:val="21"/>
          <w:highlight w:val="none"/>
          <w:lang w:val="zh-CN"/>
        </w:rPr>
        <w:t>公司</w:t>
      </w:r>
      <w:r>
        <w:rPr>
          <w:rFonts w:hint="eastAsia" w:ascii="宋体" w:hAnsi="宋体" w:cs="宋体"/>
          <w:kern w:val="0"/>
          <w:szCs w:val="21"/>
          <w:highlight w:val="none"/>
          <w:lang w:val="af-ZA"/>
        </w:rPr>
        <w:t>严格履行政府采购合同，不降低合同约定的产品质量和服务，不擅自变更、中止、终止合同，或拒绝履行合同义务；</w:t>
      </w:r>
    </w:p>
    <w:p w14:paraId="0B0B1DF7">
      <w:pPr>
        <w:snapToGrid w:val="0"/>
        <w:spacing w:before="156" w:beforeLines="50" w:after="50" w:line="360" w:lineRule="auto"/>
        <w:ind w:firstLine="420" w:firstLineChars="200"/>
        <w:rPr>
          <w:rFonts w:ascii="宋体" w:hAnsi="宋体" w:cs="宋体"/>
          <w:szCs w:val="21"/>
          <w:highlight w:val="none"/>
        </w:rPr>
      </w:pPr>
      <w:r>
        <w:rPr>
          <w:rFonts w:hint="eastAsia" w:ascii="宋体" w:hAnsi="宋体" w:cs="宋体"/>
          <w:szCs w:val="21"/>
          <w:highlight w:val="none"/>
        </w:rPr>
        <w:t>六、以上事项如有虚假或隐瞒，我</w:t>
      </w:r>
      <w:r>
        <w:rPr>
          <w:rFonts w:hint="eastAsia" w:ascii="宋体" w:hAnsi="宋体" w:cs="宋体"/>
          <w:kern w:val="0"/>
          <w:szCs w:val="21"/>
          <w:highlight w:val="none"/>
          <w:lang w:val="zh-CN"/>
        </w:rPr>
        <w:t>公司</w:t>
      </w:r>
      <w:r>
        <w:rPr>
          <w:rFonts w:hint="eastAsia" w:ascii="宋体" w:hAnsi="宋体" w:cs="宋体"/>
          <w:szCs w:val="21"/>
          <w:highlight w:val="none"/>
        </w:rPr>
        <w:t>愿意承担一切后果，并不再寻求任何旨在减轻或免除法律责任的辩解。</w:t>
      </w:r>
    </w:p>
    <w:p w14:paraId="72BFD6C5">
      <w:pPr>
        <w:adjustRightInd w:val="0"/>
        <w:snapToGrid w:val="0"/>
        <w:spacing w:line="360" w:lineRule="auto"/>
        <w:ind w:firstLine="480"/>
        <w:rPr>
          <w:rFonts w:ascii="宋体" w:hAnsi="宋体" w:cs="宋体"/>
          <w:kern w:val="0"/>
          <w:szCs w:val="21"/>
          <w:highlight w:val="none"/>
        </w:rPr>
      </w:pPr>
    </w:p>
    <w:p w14:paraId="1E07D7A7">
      <w:pPr>
        <w:adjustRightInd w:val="0"/>
        <w:snapToGrid w:val="0"/>
        <w:spacing w:line="360" w:lineRule="auto"/>
        <w:ind w:left="0" w:leftChars="0" w:firstLine="4200" w:firstLineChars="2000"/>
        <w:rPr>
          <w:rFonts w:ascii="宋体" w:hAnsi="宋体" w:cs="宋体"/>
          <w:kern w:val="0"/>
          <w:szCs w:val="21"/>
          <w:highlight w:val="none"/>
          <w:lang w:val="zh-CN"/>
        </w:rPr>
      </w:pPr>
      <w:r>
        <w:rPr>
          <w:rFonts w:hint="eastAsia" w:ascii="宋体" w:hAnsi="宋体" w:cs="宋体"/>
          <w:kern w:val="0"/>
          <w:szCs w:val="21"/>
          <w:highlight w:val="none"/>
          <w:lang w:val="zh-CN"/>
        </w:rPr>
        <w:t>供应商名称(公章)：</w:t>
      </w:r>
    </w:p>
    <w:p w14:paraId="12B6B4B0">
      <w:pPr>
        <w:adjustRightInd w:val="0"/>
        <w:snapToGrid w:val="0"/>
        <w:spacing w:line="360" w:lineRule="auto"/>
        <w:ind w:left="0" w:leftChars="0" w:firstLine="4200" w:firstLineChars="2000"/>
        <w:rPr>
          <w:rFonts w:ascii="宋体" w:hAnsi="宋体" w:cs="宋体"/>
          <w:kern w:val="0"/>
          <w:szCs w:val="21"/>
          <w:highlight w:val="none"/>
          <w:lang w:val="zh-CN"/>
        </w:rPr>
      </w:pPr>
      <w:r>
        <w:rPr>
          <w:rFonts w:hint="eastAsia" w:ascii="宋体" w:hAnsi="宋体" w:cs="宋体"/>
          <w:kern w:val="0"/>
          <w:szCs w:val="21"/>
          <w:highlight w:val="none"/>
          <w:lang w:val="zh-CN"/>
        </w:rPr>
        <w:t>法定代表人或授权委托</w:t>
      </w:r>
      <w:r>
        <w:rPr>
          <w:rFonts w:hint="eastAsia" w:ascii="宋体" w:hAnsi="宋体" w:cs="宋体"/>
          <w:kern w:val="0"/>
          <w:szCs w:val="21"/>
          <w:highlight w:val="none"/>
        </w:rPr>
        <w:t>代理</w:t>
      </w:r>
      <w:r>
        <w:rPr>
          <w:rFonts w:hint="eastAsia" w:ascii="宋体" w:hAnsi="宋体" w:cs="宋体"/>
          <w:kern w:val="0"/>
          <w:szCs w:val="21"/>
          <w:highlight w:val="none"/>
          <w:lang w:val="zh-CN"/>
        </w:rPr>
        <w:t>人(签字</w:t>
      </w:r>
      <w:r>
        <w:rPr>
          <w:rFonts w:hint="eastAsia" w:ascii="宋体" w:hAnsi="宋体" w:cs="宋体"/>
          <w:kern w:val="0"/>
          <w:szCs w:val="21"/>
          <w:highlight w:val="none"/>
        </w:rPr>
        <w:t>或盖章</w:t>
      </w:r>
      <w:r>
        <w:rPr>
          <w:rFonts w:hint="eastAsia" w:ascii="宋体" w:hAnsi="宋体" w:cs="宋体"/>
          <w:kern w:val="0"/>
          <w:szCs w:val="21"/>
          <w:highlight w:val="none"/>
          <w:lang w:val="zh-CN"/>
        </w:rPr>
        <w:t>)：</w:t>
      </w:r>
    </w:p>
    <w:p w14:paraId="33F6A39F">
      <w:pPr>
        <w:adjustRightInd w:val="0"/>
        <w:snapToGrid w:val="0"/>
        <w:spacing w:line="360" w:lineRule="auto"/>
        <w:ind w:left="0" w:leftChars="0" w:right="480" w:firstLine="4200" w:firstLineChars="2000"/>
        <w:jc w:val="left"/>
        <w:rPr>
          <w:rFonts w:ascii="宋体" w:hAnsi="宋体" w:cs="宋体"/>
          <w:kern w:val="0"/>
          <w:szCs w:val="21"/>
          <w:highlight w:val="none"/>
          <w:lang w:val="zh-CN"/>
        </w:rPr>
      </w:pPr>
      <w:r>
        <w:rPr>
          <w:rFonts w:hint="eastAsia" w:ascii="宋体" w:hAnsi="宋体" w:cs="宋体"/>
          <w:kern w:val="0"/>
          <w:szCs w:val="21"/>
          <w:highlight w:val="none"/>
          <w:lang w:val="zh-CN"/>
        </w:rPr>
        <w:t>日期：年  月   日</w:t>
      </w:r>
    </w:p>
    <w:p w14:paraId="7EEA12A7">
      <w:pPr>
        <w:adjustRightInd w:val="0"/>
        <w:snapToGrid w:val="0"/>
        <w:spacing w:line="360" w:lineRule="auto"/>
        <w:ind w:right="480"/>
        <w:jc w:val="center"/>
        <w:rPr>
          <w:rFonts w:ascii="宋体" w:hAnsi="宋体" w:cs="宋体"/>
          <w:kern w:val="0"/>
          <w:sz w:val="24"/>
          <w:highlight w:val="none"/>
          <w:lang w:val="zh-CN"/>
        </w:rPr>
      </w:pPr>
    </w:p>
    <w:p w14:paraId="69D05553">
      <w:pPr>
        <w:adjustRightInd w:val="0"/>
        <w:snapToGrid w:val="0"/>
        <w:spacing w:line="360" w:lineRule="auto"/>
        <w:ind w:right="480"/>
        <w:rPr>
          <w:rFonts w:ascii="宋体" w:hAnsi="宋体" w:cs="宋体"/>
          <w:b/>
          <w:sz w:val="28"/>
          <w:highlight w:val="none"/>
        </w:rPr>
      </w:pPr>
    </w:p>
    <w:p w14:paraId="78D47271">
      <w:pPr>
        <w:adjustRightInd w:val="0"/>
        <w:snapToGrid w:val="0"/>
        <w:spacing w:line="360" w:lineRule="auto"/>
        <w:ind w:right="480"/>
        <w:rPr>
          <w:rFonts w:ascii="宋体" w:hAnsi="宋体" w:cs="宋体"/>
          <w:b/>
          <w:sz w:val="30"/>
          <w:szCs w:val="30"/>
          <w:highlight w:val="none"/>
        </w:rPr>
      </w:pPr>
      <w:r>
        <w:rPr>
          <w:rFonts w:hint="eastAsia" w:ascii="宋体" w:hAnsi="宋体" w:cs="宋体"/>
          <w:b/>
          <w:sz w:val="28"/>
          <w:highlight w:val="none"/>
        </w:rPr>
        <w:t>附件3</w:t>
      </w:r>
    </w:p>
    <w:p w14:paraId="05198BAD">
      <w:pPr>
        <w:spacing w:line="360" w:lineRule="auto"/>
        <w:ind w:firstLine="321" w:firstLineChars="100"/>
        <w:jc w:val="center"/>
        <w:rPr>
          <w:rFonts w:ascii="宋体" w:hAnsi="宋体" w:cs="宋体"/>
          <w:b/>
          <w:sz w:val="32"/>
          <w:szCs w:val="32"/>
          <w:highlight w:val="none"/>
          <w:u w:val="single"/>
        </w:rPr>
      </w:pPr>
      <w:r>
        <w:rPr>
          <w:rFonts w:hint="eastAsia" w:ascii="宋体" w:hAnsi="宋体" w:cs="宋体"/>
          <w:b/>
          <w:sz w:val="32"/>
          <w:szCs w:val="32"/>
          <w:highlight w:val="none"/>
        </w:rPr>
        <w:t>授权委托书</w:t>
      </w:r>
    </w:p>
    <w:p w14:paraId="220CCBB4">
      <w:pPr>
        <w:pStyle w:val="11"/>
        <w:spacing w:line="360" w:lineRule="auto"/>
        <w:rPr>
          <w:rFonts w:hAnsi="宋体" w:cs="宋体"/>
          <w:b/>
          <w:szCs w:val="21"/>
          <w:highlight w:val="none"/>
        </w:rPr>
      </w:pPr>
      <w:r>
        <w:rPr>
          <w:rFonts w:hint="eastAsia" w:hAnsi="宋体" w:cs="宋体"/>
          <w:szCs w:val="21"/>
          <w:highlight w:val="none"/>
          <w:u w:val="single"/>
          <w:lang w:eastAsia="zh-CN"/>
        </w:rPr>
        <w:t>杭州国宇物产管理有限公司</w:t>
      </w:r>
      <w:r>
        <w:rPr>
          <w:rFonts w:hint="eastAsia" w:ascii="宋体" w:hAnsi="宋体" w:cs="宋体"/>
          <w:szCs w:val="21"/>
          <w:highlight w:val="none"/>
          <w:u w:val="single"/>
        </w:rPr>
        <w:t>：</w:t>
      </w:r>
      <w:bookmarkStart w:id="130" w:name="_GoBack"/>
      <w:bookmarkEnd w:id="130"/>
    </w:p>
    <w:p w14:paraId="65098F6E">
      <w:pPr>
        <w:pStyle w:val="11"/>
        <w:spacing w:line="360" w:lineRule="auto"/>
        <w:ind w:left="210" w:hanging="210" w:hangingChars="100"/>
        <w:rPr>
          <w:rFonts w:hAnsi="宋体" w:cs="宋体"/>
          <w:szCs w:val="21"/>
        </w:rPr>
      </w:pPr>
      <w:r>
        <w:rPr>
          <w:rFonts w:hint="eastAsia" w:hAnsi="宋体" w:cs="宋体"/>
          <w:szCs w:val="21"/>
          <w:highlight w:val="none"/>
        </w:rPr>
        <w:t xml:space="preserve">    </w:t>
      </w:r>
      <w:r>
        <w:rPr>
          <w:rFonts w:hint="eastAsia" w:hAnsi="宋体" w:cs="宋体"/>
          <w:szCs w:val="21"/>
          <w:highlight w:val="none"/>
          <w:u w:val="single"/>
        </w:rPr>
        <w:t xml:space="preserve">  （供应商全称）  </w:t>
      </w:r>
      <w:r>
        <w:rPr>
          <w:rFonts w:hint="eastAsia" w:hAnsi="宋体" w:cs="宋体"/>
          <w:szCs w:val="21"/>
          <w:highlight w:val="none"/>
        </w:rPr>
        <w:t>法定代表人（或营业执照中单位负责人）</w:t>
      </w:r>
      <w:r>
        <w:rPr>
          <w:rFonts w:hint="eastAsia" w:hAnsi="宋体" w:cs="宋体"/>
          <w:szCs w:val="21"/>
          <w:highlight w:val="none"/>
          <w:u w:val="single"/>
        </w:rPr>
        <w:tab/>
      </w:r>
      <w:r>
        <w:rPr>
          <w:rFonts w:hint="eastAsia" w:hAnsi="宋体" w:cs="宋体"/>
          <w:szCs w:val="21"/>
          <w:highlight w:val="none"/>
          <w:u w:val="single"/>
        </w:rPr>
        <w:t xml:space="preserve">（法定代表人或营业执照中单位负责人姓名） </w:t>
      </w:r>
      <w:r>
        <w:rPr>
          <w:rFonts w:hint="eastAsia" w:hAnsi="宋体" w:cs="宋体"/>
          <w:szCs w:val="21"/>
          <w:highlight w:val="none"/>
        </w:rPr>
        <w:t>授权</w:t>
      </w:r>
      <w:r>
        <w:rPr>
          <w:rFonts w:hint="eastAsia" w:hAnsi="宋体" w:cs="宋体"/>
          <w:szCs w:val="21"/>
          <w:highlight w:val="none"/>
          <w:u w:val="single"/>
        </w:rPr>
        <w:t xml:space="preserve">  （授权代表姓名） </w:t>
      </w:r>
      <w:r>
        <w:rPr>
          <w:rFonts w:hint="eastAsia" w:hAnsi="宋体" w:cs="宋体"/>
          <w:szCs w:val="21"/>
          <w:highlight w:val="none"/>
        </w:rPr>
        <w:t>为授权</w:t>
      </w:r>
      <w:r>
        <w:rPr>
          <w:rFonts w:hint="eastAsia" w:hAnsi="宋体" w:cs="宋体"/>
          <w:szCs w:val="21"/>
        </w:rPr>
        <w:t>委托代理人，参加贵单位组织的</w:t>
      </w:r>
      <w:r>
        <w:rPr>
          <w:rFonts w:hint="eastAsia" w:hAnsi="宋体" w:cs="宋体"/>
          <w:kern w:val="0"/>
          <w:szCs w:val="21"/>
          <w:u w:val="single"/>
          <w:lang w:eastAsia="zh-CN"/>
        </w:rPr>
        <w:t>杭州国宇物产管理有限公司</w:t>
      </w:r>
      <w:r>
        <w:rPr>
          <w:rFonts w:hint="eastAsia" w:ascii="宋体" w:hAnsi="宋体" w:cs="宋体"/>
          <w:kern w:val="0"/>
          <w:szCs w:val="21"/>
          <w:u w:val="single"/>
        </w:rPr>
        <w:t>企业年金基金受托管理服务项目</w:t>
      </w:r>
      <w:r>
        <w:rPr>
          <w:rFonts w:hint="eastAsia" w:hAnsi="宋体" w:cs="宋体"/>
          <w:szCs w:val="21"/>
        </w:rPr>
        <w:t>的采购活动，并代表我方全权办理针对上述项目的磋商、签约等具体事务和签署相关文件。我方对授权委托代理人的签字事项负全部责任。</w:t>
      </w:r>
    </w:p>
    <w:p w14:paraId="5954B385">
      <w:pPr>
        <w:pStyle w:val="11"/>
        <w:spacing w:line="360" w:lineRule="auto"/>
        <w:ind w:left="139" w:leftChars="66" w:firstLine="420" w:firstLineChars="200"/>
        <w:rPr>
          <w:rFonts w:hAnsi="宋体" w:cs="宋体"/>
          <w:szCs w:val="21"/>
        </w:rPr>
      </w:pPr>
      <w:r>
        <w:rPr>
          <w:rFonts w:hint="eastAsia" w:hAnsi="宋体" w:cs="宋体"/>
          <w:szCs w:val="21"/>
        </w:rPr>
        <w:t>在撤销授权的书面通知以前，本授权书一直有效。授权委托代理人在授权委托书有效期内签署的所有文件不因授权的撤销而失效。</w:t>
      </w:r>
    </w:p>
    <w:p w14:paraId="35EE2BA4">
      <w:pPr>
        <w:pStyle w:val="11"/>
        <w:spacing w:line="360" w:lineRule="auto"/>
        <w:ind w:left="139" w:leftChars="66" w:firstLine="420" w:firstLineChars="200"/>
        <w:rPr>
          <w:rFonts w:hAnsi="宋体" w:cs="宋体"/>
          <w:szCs w:val="21"/>
        </w:rPr>
      </w:pPr>
      <w:r>
        <w:rPr>
          <w:rFonts w:hint="eastAsia" w:hAnsi="宋体" w:cs="宋体"/>
          <w:szCs w:val="21"/>
        </w:rPr>
        <w:t>授权委托代理人无转委托权，特此委托。</w:t>
      </w:r>
    </w:p>
    <w:p w14:paraId="3FBECEF5">
      <w:pPr>
        <w:spacing w:line="360" w:lineRule="auto"/>
        <w:rPr>
          <w:rFonts w:ascii="宋体" w:hAnsi="宋体" w:cs="宋体"/>
          <w:szCs w:val="21"/>
        </w:rPr>
      </w:pPr>
    </w:p>
    <w:p w14:paraId="4CF94C9A">
      <w:pPr>
        <w:spacing w:line="360" w:lineRule="auto"/>
        <w:ind w:left="0" w:leftChars="0" w:firstLine="4200" w:firstLineChars="2000"/>
        <w:rPr>
          <w:rFonts w:hint="eastAsia" w:ascii="宋体" w:hAnsi="宋体" w:cs="宋体"/>
          <w:szCs w:val="21"/>
        </w:rPr>
      </w:pPr>
      <w:r>
        <w:rPr>
          <w:rFonts w:hint="eastAsia" w:ascii="宋体" w:hAnsi="宋体" w:cs="宋体"/>
          <w:szCs w:val="21"/>
        </w:rPr>
        <w:t xml:space="preserve">供应商全称（公章）：   </w:t>
      </w:r>
    </w:p>
    <w:p w14:paraId="36EF3132">
      <w:pPr>
        <w:spacing w:line="360" w:lineRule="auto"/>
        <w:ind w:left="0" w:leftChars="0" w:firstLine="4200" w:firstLineChars="2000"/>
        <w:rPr>
          <w:rFonts w:ascii="宋体" w:hAnsi="宋体" w:cs="宋体"/>
          <w:szCs w:val="21"/>
        </w:rPr>
      </w:pPr>
      <w:r>
        <w:rPr>
          <w:rFonts w:hint="eastAsia" w:ascii="宋体" w:hAnsi="宋体" w:cs="宋体"/>
          <w:szCs w:val="21"/>
        </w:rPr>
        <w:t xml:space="preserve">法定代表人（签字或盖章）：    </w:t>
      </w:r>
    </w:p>
    <w:p w14:paraId="6FD6532B">
      <w:pPr>
        <w:spacing w:line="360" w:lineRule="auto"/>
        <w:ind w:left="0" w:leftChars="0" w:firstLine="4200" w:firstLineChars="2000"/>
        <w:rPr>
          <w:rFonts w:ascii="宋体" w:hAnsi="宋体" w:cs="宋体"/>
          <w:szCs w:val="21"/>
        </w:rPr>
      </w:pPr>
      <w:r>
        <w:rPr>
          <w:rFonts w:hint="eastAsia" w:ascii="宋体" w:hAnsi="宋体" w:cs="宋体"/>
          <w:szCs w:val="21"/>
        </w:rPr>
        <w:t>日期：</w:t>
      </w:r>
      <w:r>
        <w:rPr>
          <w:rFonts w:hint="eastAsia" w:ascii="宋体" w:hAnsi="宋体" w:cs="宋体"/>
          <w:kern w:val="0"/>
          <w:szCs w:val="21"/>
          <w:lang w:val="zh-CN"/>
        </w:rPr>
        <w:t>年  月   日</w:t>
      </w:r>
    </w:p>
    <w:p w14:paraId="0A8D5BDD">
      <w:pPr>
        <w:spacing w:line="360" w:lineRule="auto"/>
        <w:rPr>
          <w:rFonts w:ascii="宋体" w:hAnsi="宋体" w:cs="宋体"/>
          <w:szCs w:val="21"/>
        </w:rPr>
      </w:pPr>
    </w:p>
    <w:p w14:paraId="1F98D6A3">
      <w:pPr>
        <w:spacing w:line="360" w:lineRule="auto"/>
        <w:rPr>
          <w:rFonts w:hint="default" w:ascii="宋体" w:hAnsi="宋体" w:eastAsia="宋体" w:cs="宋体"/>
          <w:szCs w:val="21"/>
          <w:lang w:val="en-US" w:eastAsia="zh-CN"/>
        </w:rPr>
      </w:pPr>
      <w:r>
        <w:rPr>
          <w:rFonts w:hint="eastAsia" w:ascii="宋体" w:hAnsi="宋体" w:cs="宋体"/>
          <w:b/>
          <w:szCs w:val="21"/>
        </w:rPr>
        <w:t>附：</w:t>
      </w:r>
      <w:r>
        <w:rPr>
          <w:rFonts w:hint="eastAsia" w:ascii="宋体" w:hAnsi="宋体" w:cs="宋体"/>
          <w:szCs w:val="21"/>
        </w:rPr>
        <w:t>法定代表</w:t>
      </w:r>
      <w:r>
        <w:rPr>
          <w:rFonts w:hint="eastAsia" w:ascii="宋体" w:hAnsi="宋体" w:cs="宋体"/>
          <w:szCs w:val="21"/>
          <w:lang w:val="en-US" w:eastAsia="zh-CN"/>
        </w:rPr>
        <w:t>人身份证复印件</w:t>
      </w:r>
    </w:p>
    <w:p w14:paraId="6B48E867">
      <w:pPr>
        <w:spacing w:line="360" w:lineRule="auto"/>
        <w:rPr>
          <w:rFonts w:ascii="宋体" w:hAnsi="宋体" w:cs="宋体"/>
          <w:b/>
          <w:szCs w:val="21"/>
        </w:rPr>
      </w:pPr>
    </w:p>
    <w:p w14:paraId="10519BA3">
      <w:pPr>
        <w:spacing w:line="360" w:lineRule="auto"/>
        <w:rPr>
          <w:rFonts w:ascii="宋体" w:hAnsi="宋体" w:cs="宋体"/>
          <w:b/>
          <w:szCs w:val="21"/>
        </w:rPr>
      </w:pPr>
    </w:p>
    <w:p w14:paraId="36CB9D5C">
      <w:pPr>
        <w:spacing w:line="360" w:lineRule="auto"/>
        <w:rPr>
          <w:rFonts w:ascii="宋体" w:hAnsi="宋体" w:cs="宋体"/>
          <w:b/>
          <w:szCs w:val="21"/>
        </w:rPr>
      </w:pPr>
    </w:p>
    <w:p w14:paraId="469066BA">
      <w:pPr>
        <w:spacing w:line="360" w:lineRule="auto"/>
        <w:rPr>
          <w:rFonts w:ascii="宋体" w:hAnsi="宋体" w:cs="宋体"/>
          <w:b/>
          <w:szCs w:val="21"/>
        </w:rPr>
      </w:pPr>
    </w:p>
    <w:p w14:paraId="21B9028E">
      <w:pPr>
        <w:spacing w:line="360" w:lineRule="auto"/>
        <w:rPr>
          <w:rFonts w:ascii="宋体" w:hAnsi="宋体" w:cs="宋体"/>
          <w:b/>
          <w:szCs w:val="21"/>
        </w:rPr>
      </w:pPr>
    </w:p>
    <w:p w14:paraId="22FFFF67">
      <w:pPr>
        <w:spacing w:line="360" w:lineRule="auto"/>
        <w:rPr>
          <w:rFonts w:ascii="宋体" w:hAnsi="宋体" w:cs="宋体"/>
          <w:b/>
          <w:szCs w:val="21"/>
        </w:rPr>
      </w:pPr>
    </w:p>
    <w:p w14:paraId="34796FA5">
      <w:pPr>
        <w:spacing w:line="360" w:lineRule="auto"/>
        <w:rPr>
          <w:rFonts w:hint="default" w:ascii="宋体" w:hAnsi="宋体" w:eastAsia="宋体" w:cs="宋体"/>
          <w:szCs w:val="21"/>
          <w:lang w:val="en-US" w:eastAsia="zh-CN"/>
        </w:rPr>
      </w:pPr>
      <w:r>
        <w:rPr>
          <w:rFonts w:hint="eastAsia" w:ascii="宋体" w:hAnsi="宋体" w:cs="宋体"/>
          <w:szCs w:val="21"/>
        </w:rPr>
        <w:t>授权委托代理人</w:t>
      </w:r>
      <w:r>
        <w:rPr>
          <w:rFonts w:hint="eastAsia" w:ascii="宋体" w:hAnsi="宋体" w:cs="宋体"/>
          <w:szCs w:val="21"/>
          <w:lang w:val="en-US" w:eastAsia="zh-CN"/>
        </w:rPr>
        <w:t>身份证复印件</w:t>
      </w:r>
    </w:p>
    <w:p w14:paraId="60775FF8">
      <w:pPr>
        <w:spacing w:line="360" w:lineRule="auto"/>
        <w:rPr>
          <w:rFonts w:ascii="宋体" w:hAnsi="宋体" w:cs="宋体"/>
          <w:szCs w:val="21"/>
        </w:rPr>
      </w:pPr>
      <w:r>
        <w:rPr>
          <w:rFonts w:hint="eastAsia" w:ascii="宋体" w:hAnsi="宋体" w:cs="宋体"/>
          <w:szCs w:val="21"/>
        </w:rPr>
        <w:t xml:space="preserve">       </w:t>
      </w:r>
    </w:p>
    <w:p w14:paraId="7B54EAF7">
      <w:pPr>
        <w:rPr>
          <w:rFonts w:hint="eastAsia" w:ascii="宋体" w:hAnsi="宋体" w:cs="宋体"/>
          <w:b/>
          <w:kern w:val="0"/>
          <w:sz w:val="28"/>
          <w:szCs w:val="28"/>
        </w:rPr>
      </w:pPr>
      <w:r>
        <w:rPr>
          <w:rFonts w:hint="eastAsia" w:ascii="宋体" w:hAnsi="宋体" w:cs="宋体"/>
          <w:b/>
          <w:kern w:val="0"/>
          <w:sz w:val="28"/>
          <w:szCs w:val="28"/>
        </w:rPr>
        <w:br w:type="page"/>
      </w:r>
    </w:p>
    <w:p w14:paraId="13E9BB13">
      <w:pPr>
        <w:pStyle w:val="41"/>
        <w:shd w:val="clear" w:color="auto" w:fill="FFFFFF"/>
        <w:spacing w:before="0" w:beforeAutospacing="0" w:after="0" w:afterAutospacing="0"/>
        <w:rPr>
          <w:rFonts w:hint="eastAsia" w:eastAsia="宋体"/>
          <w:b/>
          <w:sz w:val="28"/>
          <w:lang w:eastAsia="zh-CN"/>
        </w:rPr>
      </w:pPr>
      <w:r>
        <w:rPr>
          <w:rFonts w:hint="eastAsia"/>
          <w:b/>
          <w:sz w:val="28"/>
        </w:rPr>
        <w:t>附件</w:t>
      </w:r>
      <w:r>
        <w:rPr>
          <w:rFonts w:hint="eastAsia"/>
          <w:b/>
          <w:sz w:val="28"/>
          <w:lang w:val="en-US" w:eastAsia="zh-CN"/>
        </w:rPr>
        <w:t>4</w:t>
      </w:r>
    </w:p>
    <w:p w14:paraId="7068E65B">
      <w:pPr>
        <w:spacing w:line="360" w:lineRule="auto"/>
        <w:ind w:firstLine="321" w:firstLineChars="100"/>
        <w:jc w:val="center"/>
        <w:rPr>
          <w:rFonts w:hint="eastAsia" w:ascii="宋体" w:hAnsi="宋体" w:cs="宋体"/>
          <w:b/>
          <w:sz w:val="32"/>
          <w:szCs w:val="32"/>
          <w:lang w:val="en-US" w:eastAsia="zh-CN"/>
        </w:rPr>
      </w:pPr>
      <w:r>
        <w:rPr>
          <w:rFonts w:hint="eastAsia" w:ascii="宋体" w:hAnsi="宋体" w:cs="宋体"/>
          <w:b/>
          <w:sz w:val="32"/>
          <w:szCs w:val="32"/>
        </w:rPr>
        <w:t>评标索引</w:t>
      </w:r>
      <w:r>
        <w:rPr>
          <w:rFonts w:hint="eastAsia" w:ascii="宋体" w:hAnsi="宋体" w:cs="宋体"/>
          <w:b/>
          <w:sz w:val="32"/>
          <w:szCs w:val="32"/>
          <w:lang w:val="en-US" w:eastAsia="zh-CN"/>
        </w:rPr>
        <w:t>及应标综述</w:t>
      </w:r>
    </w:p>
    <w:tbl>
      <w:tblPr>
        <w:tblStyle w:val="23"/>
        <w:tblW w:w="9204"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033"/>
        <w:gridCol w:w="2421"/>
        <w:gridCol w:w="2750"/>
        <w:gridCol w:w="2100"/>
      </w:tblGrid>
      <w:tr w14:paraId="7EADE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DE7D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评分项目</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D14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评选细目</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E5F6">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kern w:val="0"/>
                <w:szCs w:val="21"/>
                <w:lang w:val="en-US" w:eastAsia="zh-CN" w:bidi="ar"/>
              </w:rPr>
              <w:t>响应内容简述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CF31">
            <w:pPr>
              <w:widowControl/>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kern w:val="0"/>
                <w:szCs w:val="21"/>
                <w:lang w:bidi="ar"/>
              </w:rPr>
              <w:t>对应</w:t>
            </w:r>
            <w:r>
              <w:rPr>
                <w:rFonts w:hint="eastAsia" w:ascii="宋体" w:hAnsi="宋体" w:cs="宋体"/>
                <w:b/>
                <w:bCs/>
                <w:kern w:val="0"/>
                <w:szCs w:val="21"/>
                <w:lang w:val="en-US" w:eastAsia="zh-CN" w:bidi="ar"/>
              </w:rPr>
              <w:t>起始</w:t>
            </w:r>
            <w:r>
              <w:rPr>
                <w:rFonts w:hint="eastAsia" w:ascii="宋体" w:hAnsi="宋体" w:cs="宋体"/>
                <w:b/>
                <w:bCs/>
                <w:kern w:val="0"/>
                <w:szCs w:val="21"/>
                <w:lang w:bidi="ar"/>
              </w:rPr>
              <w:t>页码</w:t>
            </w:r>
          </w:p>
        </w:tc>
      </w:tr>
      <w:tr w14:paraId="359C4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FF4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商务分（1</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1B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公司综合实力   （1</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14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注册资本</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64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C012">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r>
      <w:tr w14:paraId="6EF7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AF69B">
            <w:pPr>
              <w:jc w:val="center"/>
              <w:rPr>
                <w:rFonts w:hint="eastAsia" w:ascii="宋体" w:hAnsi="宋体" w:eastAsia="宋体" w:cs="宋体"/>
                <w:i w:val="0"/>
                <w:iCs w:val="0"/>
                <w:color w:val="000000"/>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C38B2">
            <w:pPr>
              <w:jc w:val="center"/>
              <w:rPr>
                <w:rFonts w:hint="eastAsia" w:ascii="宋体" w:hAnsi="宋体" w:eastAsia="宋体" w:cs="宋体"/>
                <w:i w:val="0"/>
                <w:iCs w:val="0"/>
                <w:color w:val="000000"/>
                <w:sz w:val="21"/>
                <w:szCs w:val="21"/>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CC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企业年金受托管理资格取得情况</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9B8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488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60C1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D683F">
            <w:pPr>
              <w:jc w:val="center"/>
              <w:rPr>
                <w:rFonts w:hint="eastAsia" w:ascii="宋体" w:hAnsi="宋体" w:eastAsia="宋体" w:cs="宋体"/>
                <w:i w:val="0"/>
                <w:iCs w:val="0"/>
                <w:color w:val="000000"/>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80F0D">
            <w:pPr>
              <w:jc w:val="center"/>
              <w:rPr>
                <w:rFonts w:hint="eastAsia" w:ascii="宋体" w:hAnsi="宋体" w:eastAsia="宋体" w:cs="宋体"/>
                <w:i w:val="0"/>
                <w:iCs w:val="0"/>
                <w:color w:val="000000"/>
                <w:sz w:val="21"/>
                <w:szCs w:val="21"/>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D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合规经营情况</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8B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B5C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13318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DC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68</w:t>
            </w:r>
            <w:r>
              <w:rPr>
                <w:rFonts w:hint="eastAsia" w:ascii="宋体" w:hAnsi="宋体" w:eastAsia="宋体" w:cs="宋体"/>
                <w:i w:val="0"/>
                <w:iCs w:val="0"/>
                <w:color w:val="000000"/>
                <w:kern w:val="0"/>
                <w:sz w:val="21"/>
                <w:szCs w:val="21"/>
                <w:u w:val="none"/>
                <w:lang w:val="en-US" w:eastAsia="zh-CN" w:bidi="ar"/>
              </w:rPr>
              <w:t>分）</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14:paraId="618DA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受托管理</w:t>
            </w:r>
            <w:r>
              <w:rPr>
                <w:rFonts w:hint="eastAsia" w:ascii="宋体" w:hAnsi="宋体" w:cs="宋体"/>
                <w:i w:val="0"/>
                <w:iCs w:val="0"/>
                <w:color w:val="000000"/>
                <w:kern w:val="0"/>
                <w:sz w:val="21"/>
                <w:szCs w:val="21"/>
                <w:u w:val="none"/>
                <w:lang w:val="en-US" w:eastAsia="zh-CN" w:bidi="ar"/>
              </w:rPr>
              <w:t>经验</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35</w:t>
            </w:r>
            <w:r>
              <w:rPr>
                <w:rFonts w:hint="eastAsia" w:ascii="宋体" w:hAnsi="宋体" w:eastAsia="宋体" w:cs="宋体"/>
                <w:i w:val="0"/>
                <w:iCs w:val="0"/>
                <w:color w:val="000000"/>
                <w:kern w:val="0"/>
                <w:sz w:val="21"/>
                <w:szCs w:val="21"/>
                <w:u w:val="none"/>
                <w:lang w:val="en-US" w:eastAsia="zh-CN" w:bidi="ar"/>
              </w:rPr>
              <w:t>分）</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F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企业年金受托管理资产规模</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07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9CD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29876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E56D0">
            <w:pPr>
              <w:jc w:val="center"/>
              <w:rPr>
                <w:rFonts w:hint="eastAsia" w:ascii="宋体" w:hAnsi="宋体" w:eastAsia="宋体" w:cs="宋体"/>
                <w:i w:val="0"/>
                <w:iCs w:val="0"/>
                <w:color w:val="000000"/>
                <w:sz w:val="21"/>
                <w:szCs w:val="21"/>
                <w:u w:val="none"/>
              </w:rPr>
            </w:pPr>
          </w:p>
        </w:tc>
        <w:tc>
          <w:tcPr>
            <w:tcW w:w="1033" w:type="dxa"/>
            <w:vMerge w:val="continue"/>
            <w:tcBorders>
              <w:left w:val="single" w:color="000000" w:sz="4" w:space="0"/>
              <w:right w:val="single" w:color="000000" w:sz="4" w:space="0"/>
            </w:tcBorders>
            <w:shd w:val="clear" w:color="auto" w:fill="auto"/>
            <w:vAlign w:val="center"/>
          </w:tcPr>
          <w:p w14:paraId="542014CA">
            <w:pPr>
              <w:jc w:val="center"/>
              <w:rPr>
                <w:rFonts w:hint="eastAsia" w:ascii="宋体" w:hAnsi="宋体" w:eastAsia="宋体" w:cs="宋体"/>
                <w:i w:val="0"/>
                <w:iCs w:val="0"/>
                <w:color w:val="000000"/>
                <w:sz w:val="21"/>
                <w:szCs w:val="21"/>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8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企业年金受托</w:t>
            </w:r>
            <w:r>
              <w:rPr>
                <w:rFonts w:hint="eastAsia" w:ascii="宋体" w:hAnsi="宋体" w:cs="宋体"/>
                <w:i w:val="0"/>
                <w:iCs w:val="0"/>
                <w:color w:val="000000"/>
                <w:kern w:val="0"/>
                <w:sz w:val="21"/>
                <w:szCs w:val="21"/>
                <w:u w:val="none"/>
                <w:lang w:val="en-US" w:eastAsia="zh-CN" w:bidi="ar"/>
              </w:rPr>
              <w:t>管理企业</w:t>
            </w:r>
            <w:r>
              <w:rPr>
                <w:rFonts w:hint="eastAsia" w:ascii="宋体" w:hAnsi="宋体" w:eastAsia="宋体" w:cs="宋体"/>
                <w:i w:val="0"/>
                <w:iCs w:val="0"/>
                <w:color w:val="000000"/>
                <w:kern w:val="0"/>
                <w:sz w:val="21"/>
                <w:szCs w:val="21"/>
                <w:u w:val="none"/>
                <w:lang w:val="en-US" w:eastAsia="zh-CN" w:bidi="ar"/>
              </w:rPr>
              <w:t>数量</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9D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5D2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11CF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763D1">
            <w:pPr>
              <w:jc w:val="center"/>
              <w:rPr>
                <w:rFonts w:hint="eastAsia" w:ascii="宋体" w:hAnsi="宋体" w:eastAsia="宋体" w:cs="宋体"/>
                <w:i w:val="0"/>
                <w:iCs w:val="0"/>
                <w:color w:val="000000"/>
                <w:sz w:val="21"/>
                <w:szCs w:val="21"/>
                <w:u w:val="none"/>
              </w:rPr>
            </w:pPr>
          </w:p>
        </w:tc>
        <w:tc>
          <w:tcPr>
            <w:tcW w:w="1033" w:type="dxa"/>
            <w:vMerge w:val="continue"/>
            <w:tcBorders>
              <w:left w:val="single" w:color="000000" w:sz="4" w:space="0"/>
              <w:right w:val="single" w:color="000000" w:sz="4" w:space="0"/>
            </w:tcBorders>
            <w:shd w:val="clear" w:color="auto" w:fill="auto"/>
            <w:vAlign w:val="center"/>
          </w:tcPr>
          <w:p w14:paraId="6A379691">
            <w:pPr>
              <w:jc w:val="center"/>
              <w:rPr>
                <w:rFonts w:hint="eastAsia" w:ascii="宋体" w:hAnsi="宋体" w:eastAsia="宋体" w:cs="宋体"/>
                <w:i w:val="0"/>
                <w:iCs w:val="0"/>
                <w:color w:val="000000"/>
                <w:sz w:val="21"/>
                <w:szCs w:val="21"/>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4F7C">
            <w:pPr>
              <w:keepNext w:val="0"/>
              <w:keepLines w:val="0"/>
              <w:widowControl/>
              <w:suppressLineNumbers w:val="0"/>
              <w:tabs>
                <w:tab w:val="left" w:pos="207"/>
              </w:tabs>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浙江省职业年金受托管理情况</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A0C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932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36817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2DEE7">
            <w:pPr>
              <w:jc w:val="center"/>
              <w:rPr>
                <w:rFonts w:hint="eastAsia" w:ascii="宋体" w:hAnsi="宋体" w:eastAsia="宋体" w:cs="宋体"/>
                <w:i w:val="0"/>
                <w:iCs w:val="0"/>
                <w:color w:val="000000"/>
                <w:sz w:val="21"/>
                <w:szCs w:val="21"/>
                <w:u w:val="none"/>
              </w:rPr>
            </w:pPr>
          </w:p>
        </w:tc>
        <w:tc>
          <w:tcPr>
            <w:tcW w:w="1033" w:type="dxa"/>
            <w:vMerge w:val="continue"/>
            <w:tcBorders>
              <w:left w:val="single" w:color="000000" w:sz="4" w:space="0"/>
              <w:right w:val="single" w:color="000000" w:sz="4" w:space="0"/>
            </w:tcBorders>
            <w:shd w:val="clear" w:color="auto" w:fill="auto"/>
            <w:vAlign w:val="center"/>
          </w:tcPr>
          <w:p w14:paraId="0C68AC4D">
            <w:pPr>
              <w:jc w:val="center"/>
              <w:rPr>
                <w:rFonts w:hint="eastAsia" w:ascii="宋体" w:hAnsi="宋体" w:eastAsia="宋体" w:cs="宋体"/>
                <w:i w:val="0"/>
                <w:iCs w:val="0"/>
                <w:color w:val="000000"/>
                <w:sz w:val="21"/>
                <w:szCs w:val="21"/>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6F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集合计划管理规模</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7B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5C2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692CC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B76F5">
            <w:pPr>
              <w:jc w:val="center"/>
              <w:rPr>
                <w:rFonts w:hint="eastAsia" w:ascii="宋体" w:hAnsi="宋体" w:eastAsia="宋体" w:cs="宋体"/>
                <w:i w:val="0"/>
                <w:iCs w:val="0"/>
                <w:color w:val="000000"/>
                <w:sz w:val="21"/>
                <w:szCs w:val="21"/>
                <w:u w:val="none"/>
              </w:rPr>
            </w:pPr>
          </w:p>
        </w:tc>
        <w:tc>
          <w:tcPr>
            <w:tcW w:w="1033" w:type="dxa"/>
            <w:vMerge w:val="continue"/>
            <w:tcBorders>
              <w:left w:val="single" w:color="000000" w:sz="4" w:space="0"/>
              <w:right w:val="single" w:color="000000" w:sz="4" w:space="0"/>
            </w:tcBorders>
            <w:shd w:val="clear" w:color="auto" w:fill="auto"/>
            <w:vAlign w:val="center"/>
          </w:tcPr>
          <w:p w14:paraId="7769EAAC">
            <w:pPr>
              <w:jc w:val="center"/>
              <w:rPr>
                <w:rFonts w:hint="eastAsia" w:ascii="宋体" w:hAnsi="宋体" w:eastAsia="宋体" w:cs="宋体"/>
                <w:i w:val="0"/>
                <w:iCs w:val="0"/>
                <w:color w:val="000000"/>
                <w:sz w:val="21"/>
                <w:szCs w:val="21"/>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ADE1">
            <w:pPr>
              <w:keepNext w:val="0"/>
              <w:keepLines w:val="0"/>
              <w:widowControl/>
              <w:suppressLineNumbers w:val="0"/>
              <w:tabs>
                <w:tab w:val="left" w:pos="357"/>
              </w:tabs>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受托管理集合计划业绩</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top"/>
          </w:tcPr>
          <w:p w14:paraId="67613726">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top"/>
          </w:tcPr>
          <w:p w14:paraId="65756B26">
            <w:pPr>
              <w:keepNext w:val="0"/>
              <w:keepLines w:val="0"/>
              <w:widowControl/>
              <w:suppressLineNumbers w:val="0"/>
              <w:jc w:val="both"/>
              <w:textAlignment w:val="bottom"/>
              <w:rPr>
                <w:rFonts w:hint="eastAsia" w:ascii="宋体" w:hAnsi="宋体" w:cs="宋体"/>
                <w:i w:val="0"/>
                <w:iCs w:val="0"/>
                <w:color w:val="000000"/>
                <w:kern w:val="0"/>
                <w:sz w:val="21"/>
                <w:szCs w:val="21"/>
                <w:u w:val="none"/>
                <w:lang w:val="en-US" w:eastAsia="zh-CN" w:bidi="ar"/>
              </w:rPr>
            </w:pPr>
          </w:p>
        </w:tc>
      </w:tr>
      <w:tr w14:paraId="1548A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29500">
            <w:pPr>
              <w:jc w:val="center"/>
              <w:rPr>
                <w:rFonts w:hint="eastAsia" w:ascii="宋体" w:hAnsi="宋体" w:eastAsia="宋体" w:cs="宋体"/>
                <w:i w:val="0"/>
                <w:iCs w:val="0"/>
                <w:color w:val="000000"/>
                <w:sz w:val="21"/>
                <w:szCs w:val="21"/>
                <w:u w:val="none"/>
              </w:rPr>
            </w:pPr>
          </w:p>
        </w:tc>
        <w:tc>
          <w:tcPr>
            <w:tcW w:w="1033" w:type="dxa"/>
            <w:vMerge w:val="continue"/>
            <w:tcBorders>
              <w:left w:val="single" w:color="000000" w:sz="4" w:space="0"/>
              <w:bottom w:val="single" w:color="auto" w:sz="4" w:space="0"/>
              <w:right w:val="single" w:color="000000" w:sz="4" w:space="0"/>
            </w:tcBorders>
            <w:shd w:val="clear" w:color="auto" w:fill="auto"/>
            <w:vAlign w:val="center"/>
          </w:tcPr>
          <w:p w14:paraId="7AB1E584">
            <w:pPr>
              <w:jc w:val="center"/>
              <w:rPr>
                <w:rFonts w:hint="eastAsia" w:ascii="宋体" w:hAnsi="宋体" w:eastAsia="宋体" w:cs="宋体"/>
                <w:i w:val="0"/>
                <w:iCs w:val="0"/>
                <w:color w:val="000000"/>
                <w:sz w:val="21"/>
                <w:szCs w:val="21"/>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58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受托业绩波动性</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top"/>
          </w:tcPr>
          <w:p w14:paraId="44749E25">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top"/>
          </w:tcPr>
          <w:p w14:paraId="56808E6E">
            <w:pPr>
              <w:keepNext w:val="0"/>
              <w:keepLines w:val="0"/>
              <w:widowControl/>
              <w:suppressLineNumbers w:val="0"/>
              <w:jc w:val="both"/>
              <w:textAlignment w:val="bottom"/>
              <w:rPr>
                <w:rFonts w:hint="eastAsia" w:ascii="宋体" w:hAnsi="宋体" w:cs="宋体"/>
                <w:i w:val="0"/>
                <w:iCs w:val="0"/>
                <w:color w:val="000000"/>
                <w:kern w:val="0"/>
                <w:sz w:val="21"/>
                <w:szCs w:val="21"/>
                <w:u w:val="none"/>
                <w:lang w:val="en-US" w:eastAsia="zh-CN" w:bidi="ar"/>
              </w:rPr>
            </w:pPr>
          </w:p>
        </w:tc>
      </w:tr>
      <w:tr w14:paraId="1948F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0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5AC1A38">
            <w:pPr>
              <w:jc w:val="center"/>
              <w:rPr>
                <w:rFonts w:hint="eastAsia" w:ascii="宋体" w:hAnsi="宋体" w:eastAsia="宋体" w:cs="宋体"/>
                <w:i w:val="0"/>
                <w:iCs w:val="0"/>
                <w:color w:val="000000"/>
                <w:sz w:val="21"/>
                <w:szCs w:val="21"/>
                <w:u w:val="none"/>
              </w:rPr>
            </w:pP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367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服务方案（</w:t>
            </w:r>
            <w:r>
              <w:rPr>
                <w:rFonts w:hint="eastAsia" w:ascii="宋体" w:hAnsi="宋体" w:cs="宋体"/>
                <w:i w:val="0"/>
                <w:iCs w:val="0"/>
                <w:color w:val="000000"/>
                <w:kern w:val="0"/>
                <w:sz w:val="22"/>
                <w:szCs w:val="22"/>
                <w:u w:val="none"/>
                <w:lang w:val="en-US" w:eastAsia="zh-CN" w:bidi="ar"/>
              </w:rPr>
              <w:t>33</w:t>
            </w:r>
            <w:r>
              <w:rPr>
                <w:rFonts w:hint="eastAsia" w:ascii="宋体" w:hAnsi="宋体" w:eastAsia="宋体" w:cs="宋体"/>
                <w:i w:val="0"/>
                <w:iCs w:val="0"/>
                <w:color w:val="000000"/>
                <w:kern w:val="0"/>
                <w:sz w:val="22"/>
                <w:szCs w:val="22"/>
                <w:u w:val="none"/>
                <w:lang w:val="en-US" w:eastAsia="zh-CN" w:bidi="ar"/>
              </w:rPr>
              <w:t>分）</w:t>
            </w:r>
          </w:p>
        </w:tc>
        <w:tc>
          <w:tcPr>
            <w:tcW w:w="2421" w:type="dxa"/>
            <w:tcBorders>
              <w:top w:val="single" w:color="000000" w:sz="4" w:space="0"/>
              <w:left w:val="single" w:color="auto" w:sz="4" w:space="0"/>
              <w:bottom w:val="single" w:color="000000" w:sz="4" w:space="0"/>
              <w:right w:val="single" w:color="000000" w:sz="4" w:space="0"/>
            </w:tcBorders>
            <w:shd w:val="clear" w:color="auto" w:fill="auto"/>
            <w:vAlign w:val="center"/>
          </w:tcPr>
          <w:p w14:paraId="3ABF1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推荐集合计划规模情况</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27BECF">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0B647C">
            <w:pPr>
              <w:keepNext w:val="0"/>
              <w:keepLines w:val="0"/>
              <w:widowControl/>
              <w:suppressLineNumbers w:val="0"/>
              <w:jc w:val="both"/>
              <w:textAlignment w:val="bottom"/>
              <w:rPr>
                <w:rFonts w:hint="eastAsia" w:ascii="宋体" w:hAnsi="宋体" w:eastAsia="宋体" w:cs="宋体"/>
                <w:i w:val="0"/>
                <w:iCs w:val="0"/>
                <w:color w:val="000000"/>
                <w:kern w:val="0"/>
                <w:sz w:val="21"/>
                <w:szCs w:val="21"/>
                <w:u w:val="none"/>
                <w:lang w:val="en-US" w:eastAsia="zh-CN" w:bidi="ar"/>
              </w:rPr>
            </w:pPr>
          </w:p>
        </w:tc>
      </w:tr>
      <w:tr w14:paraId="096B3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0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0BF6A8D">
            <w:pPr>
              <w:jc w:val="center"/>
              <w:rPr>
                <w:rFonts w:hint="eastAsia" w:ascii="宋体" w:hAnsi="宋体" w:eastAsia="宋体" w:cs="宋体"/>
                <w:i w:val="0"/>
                <w:iCs w:val="0"/>
                <w:color w:val="000000"/>
                <w:sz w:val="21"/>
                <w:szCs w:val="21"/>
                <w:u w:val="none"/>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9254D9">
            <w:pPr>
              <w:jc w:val="center"/>
              <w:rPr>
                <w:rFonts w:hint="eastAsia" w:ascii="宋体" w:hAnsi="宋体" w:eastAsia="宋体" w:cs="宋体"/>
                <w:i w:val="0"/>
                <w:iCs w:val="0"/>
                <w:color w:val="000000"/>
                <w:sz w:val="21"/>
                <w:szCs w:val="21"/>
                <w:u w:val="none"/>
              </w:rPr>
            </w:pPr>
          </w:p>
        </w:tc>
        <w:tc>
          <w:tcPr>
            <w:tcW w:w="2421" w:type="dxa"/>
            <w:tcBorders>
              <w:top w:val="single" w:color="000000" w:sz="4" w:space="0"/>
              <w:left w:val="single" w:color="auto" w:sz="4" w:space="0"/>
              <w:bottom w:val="single" w:color="000000" w:sz="4" w:space="0"/>
              <w:right w:val="single" w:color="000000" w:sz="4" w:space="0"/>
            </w:tcBorders>
            <w:shd w:val="clear" w:color="auto" w:fill="auto"/>
            <w:vAlign w:val="center"/>
          </w:tcPr>
          <w:p w14:paraId="5ECC0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推荐集合计划业绩情况</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C304">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6928">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p>
        </w:tc>
      </w:tr>
      <w:tr w14:paraId="15A39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0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081BDD9">
            <w:pPr>
              <w:jc w:val="center"/>
              <w:rPr>
                <w:rFonts w:hint="eastAsia" w:ascii="宋体" w:hAnsi="宋体" w:eastAsia="宋体" w:cs="宋体"/>
                <w:i w:val="0"/>
                <w:iCs w:val="0"/>
                <w:color w:val="000000"/>
                <w:sz w:val="21"/>
                <w:szCs w:val="21"/>
                <w:u w:val="none"/>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C86F28">
            <w:pPr>
              <w:jc w:val="center"/>
              <w:rPr>
                <w:rFonts w:hint="eastAsia" w:ascii="宋体" w:hAnsi="宋体" w:eastAsia="宋体" w:cs="宋体"/>
                <w:i w:val="0"/>
                <w:iCs w:val="0"/>
                <w:color w:val="000000"/>
                <w:sz w:val="21"/>
                <w:szCs w:val="21"/>
                <w:u w:val="none"/>
              </w:rPr>
            </w:pPr>
          </w:p>
        </w:tc>
        <w:tc>
          <w:tcPr>
            <w:tcW w:w="2421" w:type="dxa"/>
            <w:tcBorders>
              <w:top w:val="single" w:color="000000" w:sz="4" w:space="0"/>
              <w:left w:val="single" w:color="auto" w:sz="4" w:space="0"/>
              <w:bottom w:val="single" w:color="000000" w:sz="4" w:space="0"/>
              <w:right w:val="single" w:color="000000" w:sz="4" w:space="0"/>
            </w:tcBorders>
            <w:shd w:val="clear" w:color="auto" w:fill="auto"/>
            <w:vAlign w:val="center"/>
          </w:tcPr>
          <w:p w14:paraId="7CB72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委托人服务系统方案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AE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6AAB">
            <w:pPr>
              <w:keepNext w:val="0"/>
              <w:keepLines w:val="0"/>
              <w:widowControl/>
              <w:suppressLineNumbers w:val="0"/>
              <w:jc w:val="left"/>
              <w:textAlignment w:val="center"/>
              <w:rPr>
                <w:rFonts w:hint="eastAsia"/>
              </w:rPr>
            </w:pPr>
          </w:p>
        </w:tc>
      </w:tr>
      <w:tr w14:paraId="37009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0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E1481B6">
            <w:pPr>
              <w:jc w:val="center"/>
              <w:rPr>
                <w:rFonts w:hint="eastAsia" w:ascii="宋体" w:hAnsi="宋体" w:eastAsia="宋体" w:cs="宋体"/>
                <w:i w:val="0"/>
                <w:iCs w:val="0"/>
                <w:color w:val="000000"/>
                <w:sz w:val="21"/>
                <w:szCs w:val="21"/>
                <w:u w:val="none"/>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C71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421" w:type="dxa"/>
            <w:tcBorders>
              <w:top w:val="single" w:color="000000" w:sz="4" w:space="0"/>
              <w:left w:val="single" w:color="auto" w:sz="4" w:space="0"/>
              <w:bottom w:val="single" w:color="000000" w:sz="4" w:space="0"/>
              <w:right w:val="single" w:color="000000" w:sz="4" w:space="0"/>
            </w:tcBorders>
            <w:shd w:val="clear" w:color="auto" w:fill="auto"/>
            <w:vAlign w:val="center"/>
          </w:tcPr>
          <w:p w14:paraId="304EC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专属服务方案</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66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1BC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5AFD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0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3CBD0FD">
            <w:pPr>
              <w:jc w:val="center"/>
              <w:rPr>
                <w:rFonts w:hint="eastAsia" w:ascii="宋体" w:hAnsi="宋体" w:eastAsia="宋体" w:cs="宋体"/>
                <w:i w:val="0"/>
                <w:iCs w:val="0"/>
                <w:color w:val="000000"/>
                <w:sz w:val="21"/>
                <w:szCs w:val="21"/>
                <w:u w:val="none"/>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8B684E">
            <w:pPr>
              <w:jc w:val="center"/>
              <w:rPr>
                <w:rFonts w:hint="eastAsia" w:ascii="宋体" w:hAnsi="宋体" w:eastAsia="宋体" w:cs="宋体"/>
                <w:i w:val="0"/>
                <w:iCs w:val="0"/>
                <w:color w:val="000000"/>
                <w:sz w:val="22"/>
                <w:szCs w:val="22"/>
                <w:u w:val="none"/>
              </w:rPr>
            </w:pPr>
          </w:p>
        </w:tc>
        <w:tc>
          <w:tcPr>
            <w:tcW w:w="2421" w:type="dxa"/>
            <w:tcBorders>
              <w:top w:val="single" w:color="000000" w:sz="4" w:space="0"/>
              <w:left w:val="single" w:color="auto" w:sz="4" w:space="0"/>
              <w:bottom w:val="single" w:color="000000" w:sz="4" w:space="0"/>
              <w:right w:val="single" w:color="000000" w:sz="4" w:space="0"/>
            </w:tcBorders>
            <w:shd w:val="clear" w:color="auto" w:fill="auto"/>
            <w:vAlign w:val="center"/>
          </w:tcPr>
          <w:p w14:paraId="061AA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专属服务团队</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77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3CD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443A0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0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CADA2AD">
            <w:pPr>
              <w:jc w:val="center"/>
              <w:rPr>
                <w:rFonts w:hint="eastAsia" w:ascii="宋体" w:hAnsi="宋体" w:eastAsia="宋体" w:cs="宋体"/>
                <w:i w:val="0"/>
                <w:iCs w:val="0"/>
                <w:color w:val="000000"/>
                <w:sz w:val="21"/>
                <w:szCs w:val="21"/>
                <w:u w:val="none"/>
              </w:rPr>
            </w:pPr>
          </w:p>
        </w:tc>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CD4CBD">
            <w:pPr>
              <w:jc w:val="center"/>
              <w:rPr>
                <w:rFonts w:hint="eastAsia" w:ascii="宋体" w:hAnsi="宋体" w:eastAsia="宋体" w:cs="宋体"/>
                <w:i w:val="0"/>
                <w:iCs w:val="0"/>
                <w:color w:val="000000"/>
                <w:sz w:val="22"/>
                <w:szCs w:val="22"/>
                <w:u w:val="none"/>
              </w:rPr>
            </w:pPr>
          </w:p>
        </w:tc>
        <w:tc>
          <w:tcPr>
            <w:tcW w:w="2421" w:type="dxa"/>
            <w:tcBorders>
              <w:top w:val="single" w:color="000000" w:sz="4" w:space="0"/>
              <w:left w:val="single" w:color="auto" w:sz="4" w:space="0"/>
              <w:bottom w:val="single" w:color="000000" w:sz="4" w:space="0"/>
              <w:right w:val="single" w:color="000000" w:sz="4" w:space="0"/>
            </w:tcBorders>
            <w:shd w:val="clear" w:color="auto" w:fill="auto"/>
            <w:vAlign w:val="center"/>
          </w:tcPr>
          <w:p w14:paraId="52FAB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增值服务</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28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F83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bl>
    <w:p w14:paraId="711FA4B2">
      <w:pPr>
        <w:spacing w:line="360" w:lineRule="auto"/>
        <w:ind w:firstLine="321" w:firstLineChars="100"/>
        <w:jc w:val="center"/>
        <w:rPr>
          <w:rFonts w:hint="eastAsia" w:ascii="宋体" w:hAnsi="宋体" w:cs="宋体"/>
          <w:b/>
          <w:sz w:val="32"/>
          <w:szCs w:val="32"/>
          <w:lang w:val="en-US" w:eastAsia="zh-CN"/>
        </w:rPr>
      </w:pPr>
    </w:p>
    <w:p w14:paraId="5CC1DCFD">
      <w:pPr>
        <w:spacing w:line="360" w:lineRule="auto"/>
        <w:ind w:firstLine="321" w:firstLineChars="100"/>
        <w:jc w:val="center"/>
        <w:rPr>
          <w:rFonts w:hint="eastAsia" w:ascii="宋体" w:hAnsi="宋体" w:cs="宋体"/>
          <w:b/>
          <w:sz w:val="32"/>
          <w:szCs w:val="32"/>
          <w:lang w:val="en-US" w:eastAsia="zh-CN"/>
        </w:rPr>
      </w:pPr>
    </w:p>
    <w:p w14:paraId="0E94B613">
      <w:pPr>
        <w:rPr>
          <w:rFonts w:ascii="宋体" w:hAnsi="宋体" w:cs="宋体"/>
          <w:b/>
          <w:kern w:val="0"/>
          <w:sz w:val="28"/>
          <w:szCs w:val="28"/>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14:paraId="2B298421">
      <w:pPr>
        <w:snapToGrid w:val="0"/>
        <w:spacing w:before="156" w:beforeLines="50" w:after="50" w:line="360" w:lineRule="auto"/>
        <w:rPr>
          <w:rFonts w:hint="eastAsia" w:ascii="宋体" w:hAnsi="宋体" w:cs="宋体"/>
          <w:b/>
          <w:sz w:val="30"/>
          <w:szCs w:val="30"/>
        </w:rPr>
      </w:pPr>
      <w:r>
        <w:rPr>
          <w:rFonts w:hint="eastAsia" w:ascii="宋体" w:hAnsi="宋体" w:cs="宋体"/>
          <w:b/>
          <w:sz w:val="28"/>
        </w:rPr>
        <w:t>附件</w:t>
      </w:r>
      <w:r>
        <w:rPr>
          <w:rFonts w:hint="eastAsia" w:ascii="宋体" w:hAnsi="宋体" w:cs="宋体"/>
          <w:b/>
          <w:sz w:val="28"/>
          <w:lang w:val="en-US" w:eastAsia="zh-CN"/>
        </w:rPr>
        <w:t>5</w:t>
      </w:r>
      <w:r>
        <w:rPr>
          <w:rFonts w:hint="eastAsia" w:ascii="宋体" w:hAnsi="宋体" w:cs="宋体"/>
          <w:b/>
          <w:sz w:val="30"/>
          <w:szCs w:val="30"/>
        </w:rPr>
        <w:t xml:space="preserve">  </w:t>
      </w:r>
    </w:p>
    <w:p w14:paraId="547BD350">
      <w:pPr>
        <w:spacing w:line="360" w:lineRule="auto"/>
        <w:ind w:left="0" w:leftChars="0" w:firstLine="0" w:firstLineChars="0"/>
        <w:jc w:val="center"/>
        <w:rPr>
          <w:rFonts w:hint="eastAsia" w:ascii="宋体" w:hAnsi="宋体" w:cs="宋体"/>
          <w:b/>
          <w:sz w:val="32"/>
          <w:szCs w:val="32"/>
          <w:lang w:val="en-US" w:eastAsia="zh-CN"/>
        </w:rPr>
      </w:pPr>
      <w:r>
        <w:rPr>
          <w:rFonts w:hint="eastAsia" w:ascii="宋体" w:hAnsi="宋体" w:cs="宋体"/>
          <w:b/>
          <w:sz w:val="32"/>
          <w:szCs w:val="32"/>
          <w:lang w:val="en-US" w:eastAsia="zh-CN"/>
        </w:rPr>
        <w:t>受托管理集合计划情况</w:t>
      </w:r>
    </w:p>
    <w:tbl>
      <w:tblPr>
        <w:tblStyle w:val="24"/>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1450"/>
        <w:gridCol w:w="950"/>
        <w:gridCol w:w="950"/>
        <w:gridCol w:w="950"/>
        <w:gridCol w:w="1964"/>
      </w:tblGrid>
      <w:tr w14:paraId="4051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54" w:type="dxa"/>
            <w:vMerge w:val="restart"/>
            <w:vAlign w:val="center"/>
          </w:tcPr>
          <w:p w14:paraId="58AC9C9D">
            <w:pPr>
              <w:spacing w:line="240" w:lineRule="auto"/>
              <w:jc w:val="center"/>
              <w:rPr>
                <w:rFonts w:hint="default" w:ascii="宋体" w:hAnsi="宋体" w:eastAsia="宋体" w:cs="宋体"/>
                <w:b/>
                <w:kern w:val="2"/>
                <w:sz w:val="21"/>
                <w:szCs w:val="21"/>
                <w:vertAlign w:val="baseline"/>
                <w:lang w:val="en-US" w:eastAsia="zh-CN" w:bidi="ar-SA"/>
              </w:rPr>
            </w:pPr>
            <w:r>
              <w:rPr>
                <w:rFonts w:hint="eastAsia" w:ascii="宋体" w:hAnsi="宋体" w:cs="宋体"/>
                <w:b/>
                <w:sz w:val="21"/>
                <w:szCs w:val="21"/>
                <w:vertAlign w:val="baseline"/>
                <w:lang w:val="en-US" w:eastAsia="zh-CN"/>
              </w:rPr>
              <w:t>供应商名称</w:t>
            </w:r>
          </w:p>
        </w:tc>
        <w:tc>
          <w:tcPr>
            <w:tcW w:w="1450" w:type="dxa"/>
            <w:vMerge w:val="restart"/>
            <w:vAlign w:val="center"/>
          </w:tcPr>
          <w:p w14:paraId="07B3CC5D">
            <w:pPr>
              <w:spacing w:line="240" w:lineRule="auto"/>
              <w:jc w:val="center"/>
              <w:rPr>
                <w:rFonts w:hint="eastAsia"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集合计划管理规模</w:t>
            </w:r>
          </w:p>
          <w:p w14:paraId="30D66FF2">
            <w:pPr>
              <w:spacing w:line="240" w:lineRule="auto"/>
              <w:jc w:val="center"/>
              <w:rPr>
                <w:rFonts w:hint="eastAsia" w:ascii="宋体" w:hAnsi="宋体" w:eastAsia="宋体" w:cs="宋体"/>
                <w:b/>
                <w:kern w:val="2"/>
                <w:sz w:val="21"/>
                <w:szCs w:val="21"/>
                <w:vertAlign w:val="baseline"/>
                <w:lang w:val="en-US" w:eastAsia="zh-CN" w:bidi="ar-SA"/>
              </w:rPr>
            </w:pPr>
            <w:r>
              <w:rPr>
                <w:rFonts w:hint="eastAsia" w:ascii="宋体" w:hAnsi="宋体" w:cs="宋体"/>
                <w:b/>
                <w:sz w:val="21"/>
                <w:szCs w:val="21"/>
                <w:vertAlign w:val="baseline"/>
                <w:lang w:val="en-US" w:eastAsia="zh-CN"/>
              </w:rPr>
              <w:t>（2024年末）</w:t>
            </w:r>
          </w:p>
        </w:tc>
        <w:tc>
          <w:tcPr>
            <w:tcW w:w="4814" w:type="dxa"/>
            <w:gridSpan w:val="4"/>
            <w:vAlign w:val="center"/>
          </w:tcPr>
          <w:p w14:paraId="5F89B386">
            <w:pPr>
              <w:spacing w:line="240" w:lineRule="auto"/>
              <w:jc w:val="center"/>
              <w:rPr>
                <w:rFonts w:hint="default"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综合收益率</w:t>
            </w:r>
          </w:p>
        </w:tc>
      </w:tr>
      <w:tr w14:paraId="7C96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vMerge w:val="continue"/>
            <w:shd w:val="clear" w:color="auto" w:fill="auto"/>
            <w:vAlign w:val="center"/>
          </w:tcPr>
          <w:p w14:paraId="3F69D4B3">
            <w:pPr>
              <w:spacing w:line="240" w:lineRule="auto"/>
              <w:jc w:val="center"/>
              <w:rPr>
                <w:rFonts w:hint="eastAsia" w:ascii="宋体" w:hAnsi="宋体" w:eastAsia="宋体" w:cs="宋体"/>
                <w:b/>
                <w:kern w:val="2"/>
                <w:sz w:val="21"/>
                <w:szCs w:val="21"/>
                <w:vertAlign w:val="baseline"/>
                <w:lang w:val="en-US" w:eastAsia="zh-CN" w:bidi="ar-SA"/>
              </w:rPr>
            </w:pPr>
          </w:p>
        </w:tc>
        <w:tc>
          <w:tcPr>
            <w:tcW w:w="1450" w:type="dxa"/>
            <w:vMerge w:val="continue"/>
            <w:shd w:val="clear" w:color="auto" w:fill="auto"/>
            <w:vAlign w:val="center"/>
          </w:tcPr>
          <w:p w14:paraId="45C3712E">
            <w:pPr>
              <w:spacing w:line="240" w:lineRule="auto"/>
              <w:jc w:val="center"/>
              <w:rPr>
                <w:rFonts w:hint="eastAsia" w:ascii="宋体" w:hAnsi="宋体" w:eastAsia="宋体" w:cs="宋体"/>
                <w:b/>
                <w:kern w:val="2"/>
                <w:sz w:val="21"/>
                <w:szCs w:val="21"/>
                <w:vertAlign w:val="baseline"/>
                <w:lang w:val="en-US" w:eastAsia="zh-CN" w:bidi="ar-SA"/>
              </w:rPr>
            </w:pPr>
          </w:p>
        </w:tc>
        <w:tc>
          <w:tcPr>
            <w:tcW w:w="950" w:type="dxa"/>
            <w:vAlign w:val="center"/>
          </w:tcPr>
          <w:p w14:paraId="24764CFD">
            <w:pPr>
              <w:spacing w:line="240" w:lineRule="auto"/>
              <w:jc w:val="center"/>
              <w:rPr>
                <w:rFonts w:hint="default"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2022年</w:t>
            </w:r>
          </w:p>
        </w:tc>
        <w:tc>
          <w:tcPr>
            <w:tcW w:w="950" w:type="dxa"/>
            <w:vAlign w:val="center"/>
          </w:tcPr>
          <w:p w14:paraId="7421E467">
            <w:pPr>
              <w:spacing w:line="240" w:lineRule="auto"/>
              <w:jc w:val="center"/>
              <w:rPr>
                <w:rFonts w:hint="default"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2023年</w:t>
            </w:r>
          </w:p>
        </w:tc>
        <w:tc>
          <w:tcPr>
            <w:tcW w:w="950" w:type="dxa"/>
            <w:vAlign w:val="center"/>
          </w:tcPr>
          <w:p w14:paraId="3AA62156">
            <w:pPr>
              <w:spacing w:line="240" w:lineRule="auto"/>
              <w:jc w:val="center"/>
              <w:rPr>
                <w:rFonts w:hint="default"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2024年</w:t>
            </w:r>
          </w:p>
        </w:tc>
        <w:tc>
          <w:tcPr>
            <w:tcW w:w="1964" w:type="dxa"/>
            <w:vAlign w:val="center"/>
          </w:tcPr>
          <w:p w14:paraId="755E067E">
            <w:pPr>
              <w:spacing w:line="240" w:lineRule="auto"/>
              <w:jc w:val="center"/>
              <w:rPr>
                <w:rFonts w:hint="eastAsia"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2022年-2024年简单平均</w:t>
            </w:r>
          </w:p>
        </w:tc>
      </w:tr>
      <w:tr w14:paraId="17E6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4" w:type="dxa"/>
            <w:vAlign w:val="center"/>
          </w:tcPr>
          <w:p w14:paraId="35501DBD">
            <w:pPr>
              <w:spacing w:line="240" w:lineRule="auto"/>
              <w:jc w:val="center"/>
              <w:rPr>
                <w:rFonts w:hint="eastAsia" w:ascii="宋体" w:hAnsi="宋体" w:cs="宋体"/>
                <w:b/>
                <w:sz w:val="22"/>
                <w:szCs w:val="22"/>
                <w:vertAlign w:val="baseline"/>
              </w:rPr>
            </w:pPr>
          </w:p>
        </w:tc>
        <w:tc>
          <w:tcPr>
            <w:tcW w:w="1450" w:type="dxa"/>
            <w:vAlign w:val="center"/>
          </w:tcPr>
          <w:p w14:paraId="7BCA1261">
            <w:pPr>
              <w:spacing w:line="240" w:lineRule="auto"/>
              <w:jc w:val="center"/>
              <w:rPr>
                <w:rFonts w:hint="eastAsia" w:ascii="宋体" w:hAnsi="宋体" w:cs="宋体"/>
                <w:b/>
                <w:sz w:val="22"/>
                <w:szCs w:val="22"/>
                <w:vertAlign w:val="baseline"/>
              </w:rPr>
            </w:pPr>
          </w:p>
        </w:tc>
        <w:tc>
          <w:tcPr>
            <w:tcW w:w="950" w:type="dxa"/>
            <w:vAlign w:val="center"/>
          </w:tcPr>
          <w:p w14:paraId="169A8964">
            <w:pPr>
              <w:spacing w:line="240" w:lineRule="auto"/>
              <w:jc w:val="center"/>
              <w:rPr>
                <w:rFonts w:hint="eastAsia" w:ascii="宋体" w:hAnsi="宋体" w:cs="宋体"/>
                <w:b/>
                <w:sz w:val="22"/>
                <w:szCs w:val="22"/>
                <w:vertAlign w:val="baseline"/>
              </w:rPr>
            </w:pPr>
          </w:p>
        </w:tc>
        <w:tc>
          <w:tcPr>
            <w:tcW w:w="950" w:type="dxa"/>
            <w:vAlign w:val="center"/>
          </w:tcPr>
          <w:p w14:paraId="04E9539B">
            <w:pPr>
              <w:spacing w:line="240" w:lineRule="auto"/>
              <w:jc w:val="center"/>
              <w:rPr>
                <w:rFonts w:hint="eastAsia" w:ascii="宋体" w:hAnsi="宋体" w:cs="宋体"/>
                <w:b/>
                <w:sz w:val="22"/>
                <w:szCs w:val="22"/>
                <w:vertAlign w:val="baseline"/>
              </w:rPr>
            </w:pPr>
          </w:p>
        </w:tc>
        <w:tc>
          <w:tcPr>
            <w:tcW w:w="950" w:type="dxa"/>
            <w:vAlign w:val="center"/>
          </w:tcPr>
          <w:p w14:paraId="5BDCD5E2">
            <w:pPr>
              <w:spacing w:line="240" w:lineRule="auto"/>
              <w:jc w:val="center"/>
              <w:rPr>
                <w:rFonts w:hint="eastAsia" w:ascii="宋体" w:hAnsi="宋体" w:cs="宋体"/>
                <w:b/>
                <w:sz w:val="22"/>
                <w:szCs w:val="22"/>
                <w:vertAlign w:val="baseline"/>
              </w:rPr>
            </w:pPr>
          </w:p>
        </w:tc>
        <w:tc>
          <w:tcPr>
            <w:tcW w:w="1964" w:type="dxa"/>
            <w:vAlign w:val="center"/>
          </w:tcPr>
          <w:p w14:paraId="7B1FE566">
            <w:pPr>
              <w:spacing w:line="240" w:lineRule="auto"/>
              <w:jc w:val="center"/>
              <w:rPr>
                <w:rFonts w:hint="eastAsia" w:ascii="宋体" w:hAnsi="宋体" w:cs="宋体"/>
                <w:b/>
                <w:sz w:val="22"/>
                <w:szCs w:val="22"/>
                <w:vertAlign w:val="baseline"/>
              </w:rPr>
            </w:pPr>
          </w:p>
        </w:tc>
      </w:tr>
    </w:tbl>
    <w:p w14:paraId="11916782">
      <w:pPr>
        <w:spacing w:line="360" w:lineRule="auto"/>
        <w:ind w:left="0" w:leftChars="0" w:firstLine="0" w:firstLineChars="0"/>
        <w:jc w:val="center"/>
        <w:rPr>
          <w:rFonts w:hint="eastAsia" w:ascii="宋体" w:hAnsi="宋体" w:cs="宋体"/>
          <w:b/>
          <w:sz w:val="30"/>
          <w:szCs w:val="30"/>
        </w:rPr>
      </w:pPr>
    </w:p>
    <w:p w14:paraId="1A2B87C4">
      <w:pPr>
        <w:spacing w:line="360" w:lineRule="auto"/>
        <w:ind w:left="0" w:leftChars="0" w:firstLine="0" w:firstLineChars="0"/>
        <w:jc w:val="center"/>
        <w:rPr>
          <w:rFonts w:hint="eastAsia" w:ascii="宋体" w:hAnsi="宋体" w:cs="宋体"/>
          <w:b/>
          <w:sz w:val="32"/>
          <w:szCs w:val="32"/>
          <w:lang w:val="en-US" w:eastAsia="zh-CN"/>
        </w:rPr>
      </w:pPr>
      <w:r>
        <w:rPr>
          <w:rFonts w:hint="eastAsia" w:ascii="宋体" w:hAnsi="宋体" w:cs="宋体"/>
          <w:b/>
          <w:sz w:val="32"/>
          <w:szCs w:val="32"/>
          <w:lang w:val="en-US" w:eastAsia="zh-CN"/>
        </w:rPr>
        <w:t>推荐集合计划情况</w:t>
      </w:r>
    </w:p>
    <w:tbl>
      <w:tblPr>
        <w:tblStyle w:val="24"/>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200"/>
        <w:gridCol w:w="950"/>
        <w:gridCol w:w="950"/>
        <w:gridCol w:w="950"/>
        <w:gridCol w:w="1964"/>
      </w:tblGrid>
      <w:tr w14:paraId="0600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504" w:type="dxa"/>
            <w:vMerge w:val="restart"/>
            <w:vAlign w:val="center"/>
          </w:tcPr>
          <w:p w14:paraId="0A586B46">
            <w:pPr>
              <w:spacing w:line="240" w:lineRule="auto"/>
              <w:jc w:val="center"/>
              <w:rPr>
                <w:rFonts w:hint="eastAsia" w:ascii="宋体" w:hAnsi="宋体" w:eastAsia="宋体" w:cs="宋体"/>
                <w:b/>
                <w:kern w:val="2"/>
                <w:sz w:val="21"/>
                <w:szCs w:val="21"/>
                <w:vertAlign w:val="baseline"/>
                <w:lang w:val="en-US" w:eastAsia="zh-CN" w:bidi="ar-SA"/>
              </w:rPr>
            </w:pPr>
            <w:r>
              <w:rPr>
                <w:rFonts w:hint="eastAsia" w:ascii="宋体" w:hAnsi="宋体" w:cs="宋体"/>
                <w:b/>
                <w:sz w:val="21"/>
                <w:szCs w:val="21"/>
                <w:vertAlign w:val="baseline"/>
                <w:lang w:val="en-US" w:eastAsia="zh-CN"/>
              </w:rPr>
              <w:t>推荐集合计划名称</w:t>
            </w:r>
          </w:p>
        </w:tc>
        <w:tc>
          <w:tcPr>
            <w:tcW w:w="1200" w:type="dxa"/>
            <w:vMerge w:val="restart"/>
            <w:vAlign w:val="center"/>
          </w:tcPr>
          <w:p w14:paraId="2516E369">
            <w:pPr>
              <w:spacing w:line="240" w:lineRule="auto"/>
              <w:jc w:val="center"/>
              <w:rPr>
                <w:rFonts w:hint="eastAsia"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规模</w:t>
            </w:r>
          </w:p>
          <w:p w14:paraId="00C38B13">
            <w:pPr>
              <w:spacing w:line="240" w:lineRule="auto"/>
              <w:jc w:val="center"/>
              <w:rPr>
                <w:rFonts w:hint="eastAsia" w:ascii="宋体" w:hAnsi="宋体" w:eastAsia="宋体" w:cs="宋体"/>
                <w:b/>
                <w:kern w:val="2"/>
                <w:sz w:val="21"/>
                <w:szCs w:val="21"/>
                <w:vertAlign w:val="baseline"/>
                <w:lang w:val="en-US" w:eastAsia="zh-CN" w:bidi="ar-SA"/>
              </w:rPr>
            </w:pPr>
            <w:r>
              <w:rPr>
                <w:rFonts w:hint="eastAsia" w:ascii="宋体" w:hAnsi="宋体" w:cs="宋体"/>
                <w:b/>
                <w:sz w:val="21"/>
                <w:szCs w:val="21"/>
                <w:vertAlign w:val="baseline"/>
                <w:lang w:val="en-US" w:eastAsia="zh-CN"/>
              </w:rPr>
              <w:t>（2024年末）</w:t>
            </w:r>
          </w:p>
        </w:tc>
        <w:tc>
          <w:tcPr>
            <w:tcW w:w="4814" w:type="dxa"/>
            <w:gridSpan w:val="4"/>
            <w:vAlign w:val="center"/>
          </w:tcPr>
          <w:p w14:paraId="308C9BDB">
            <w:pPr>
              <w:spacing w:line="240" w:lineRule="auto"/>
              <w:jc w:val="center"/>
              <w:rPr>
                <w:rFonts w:hint="default"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综合收益率</w:t>
            </w:r>
          </w:p>
        </w:tc>
      </w:tr>
      <w:tr w14:paraId="7CA9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4" w:type="dxa"/>
            <w:vMerge w:val="continue"/>
            <w:shd w:val="clear" w:color="auto" w:fill="auto"/>
            <w:vAlign w:val="center"/>
          </w:tcPr>
          <w:p w14:paraId="480473B2">
            <w:pPr>
              <w:spacing w:line="240" w:lineRule="auto"/>
              <w:jc w:val="center"/>
              <w:rPr>
                <w:rFonts w:hint="eastAsia" w:ascii="宋体" w:hAnsi="宋体" w:eastAsia="宋体" w:cs="宋体"/>
                <w:b/>
                <w:kern w:val="2"/>
                <w:sz w:val="21"/>
                <w:szCs w:val="21"/>
                <w:vertAlign w:val="baseline"/>
                <w:lang w:val="en-US" w:eastAsia="zh-CN" w:bidi="ar-SA"/>
              </w:rPr>
            </w:pPr>
          </w:p>
        </w:tc>
        <w:tc>
          <w:tcPr>
            <w:tcW w:w="1200" w:type="dxa"/>
            <w:vMerge w:val="continue"/>
            <w:shd w:val="clear" w:color="auto" w:fill="auto"/>
            <w:vAlign w:val="center"/>
          </w:tcPr>
          <w:p w14:paraId="63709675">
            <w:pPr>
              <w:spacing w:line="240" w:lineRule="auto"/>
              <w:jc w:val="center"/>
              <w:rPr>
                <w:rFonts w:hint="eastAsia" w:ascii="宋体" w:hAnsi="宋体" w:eastAsia="宋体" w:cs="宋体"/>
                <w:b/>
                <w:kern w:val="2"/>
                <w:sz w:val="21"/>
                <w:szCs w:val="21"/>
                <w:vertAlign w:val="baseline"/>
                <w:lang w:val="en-US" w:eastAsia="zh-CN" w:bidi="ar-SA"/>
              </w:rPr>
            </w:pPr>
          </w:p>
        </w:tc>
        <w:tc>
          <w:tcPr>
            <w:tcW w:w="950" w:type="dxa"/>
            <w:vAlign w:val="center"/>
          </w:tcPr>
          <w:p w14:paraId="5F4F54A1">
            <w:pPr>
              <w:spacing w:line="240" w:lineRule="auto"/>
              <w:jc w:val="center"/>
              <w:rPr>
                <w:rFonts w:hint="default"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2022年</w:t>
            </w:r>
          </w:p>
        </w:tc>
        <w:tc>
          <w:tcPr>
            <w:tcW w:w="950" w:type="dxa"/>
            <w:vAlign w:val="center"/>
          </w:tcPr>
          <w:p w14:paraId="451826C5">
            <w:pPr>
              <w:spacing w:line="240" w:lineRule="auto"/>
              <w:jc w:val="center"/>
              <w:rPr>
                <w:rFonts w:hint="default"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2023年</w:t>
            </w:r>
          </w:p>
        </w:tc>
        <w:tc>
          <w:tcPr>
            <w:tcW w:w="950" w:type="dxa"/>
            <w:vAlign w:val="center"/>
          </w:tcPr>
          <w:p w14:paraId="4F8CBAE2">
            <w:pPr>
              <w:spacing w:line="240" w:lineRule="auto"/>
              <w:jc w:val="center"/>
              <w:rPr>
                <w:rFonts w:hint="default"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2024年</w:t>
            </w:r>
          </w:p>
        </w:tc>
        <w:tc>
          <w:tcPr>
            <w:tcW w:w="1964" w:type="dxa"/>
            <w:vAlign w:val="center"/>
          </w:tcPr>
          <w:p w14:paraId="7631B91E">
            <w:pPr>
              <w:spacing w:line="240" w:lineRule="auto"/>
              <w:jc w:val="center"/>
              <w:rPr>
                <w:rFonts w:hint="eastAsia"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2022年-2024年简单平均</w:t>
            </w:r>
          </w:p>
        </w:tc>
      </w:tr>
      <w:tr w14:paraId="39BD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4" w:type="dxa"/>
            <w:vAlign w:val="center"/>
          </w:tcPr>
          <w:p w14:paraId="686FA6B5">
            <w:pPr>
              <w:spacing w:line="240" w:lineRule="auto"/>
              <w:jc w:val="center"/>
              <w:rPr>
                <w:rFonts w:hint="eastAsia" w:ascii="宋体" w:hAnsi="宋体" w:cs="宋体"/>
                <w:b/>
                <w:sz w:val="22"/>
                <w:szCs w:val="22"/>
                <w:vertAlign w:val="baseline"/>
              </w:rPr>
            </w:pPr>
          </w:p>
        </w:tc>
        <w:tc>
          <w:tcPr>
            <w:tcW w:w="1200" w:type="dxa"/>
            <w:vAlign w:val="center"/>
          </w:tcPr>
          <w:p w14:paraId="74B6D02D">
            <w:pPr>
              <w:spacing w:line="240" w:lineRule="auto"/>
              <w:jc w:val="center"/>
              <w:rPr>
                <w:rFonts w:hint="eastAsia" w:ascii="宋体" w:hAnsi="宋体" w:cs="宋体"/>
                <w:b/>
                <w:sz w:val="22"/>
                <w:szCs w:val="22"/>
                <w:vertAlign w:val="baseline"/>
              </w:rPr>
            </w:pPr>
          </w:p>
        </w:tc>
        <w:tc>
          <w:tcPr>
            <w:tcW w:w="950" w:type="dxa"/>
            <w:vAlign w:val="center"/>
          </w:tcPr>
          <w:p w14:paraId="50755693">
            <w:pPr>
              <w:spacing w:line="240" w:lineRule="auto"/>
              <w:jc w:val="center"/>
              <w:rPr>
                <w:rFonts w:hint="eastAsia" w:ascii="宋体" w:hAnsi="宋体" w:cs="宋体"/>
                <w:b/>
                <w:sz w:val="22"/>
                <w:szCs w:val="22"/>
                <w:vertAlign w:val="baseline"/>
              </w:rPr>
            </w:pPr>
          </w:p>
        </w:tc>
        <w:tc>
          <w:tcPr>
            <w:tcW w:w="950" w:type="dxa"/>
            <w:vAlign w:val="center"/>
          </w:tcPr>
          <w:p w14:paraId="04D111CC">
            <w:pPr>
              <w:spacing w:line="240" w:lineRule="auto"/>
              <w:jc w:val="center"/>
              <w:rPr>
                <w:rFonts w:hint="eastAsia" w:ascii="宋体" w:hAnsi="宋体" w:cs="宋体"/>
                <w:b/>
                <w:sz w:val="22"/>
                <w:szCs w:val="22"/>
                <w:vertAlign w:val="baseline"/>
              </w:rPr>
            </w:pPr>
          </w:p>
        </w:tc>
        <w:tc>
          <w:tcPr>
            <w:tcW w:w="950" w:type="dxa"/>
            <w:vAlign w:val="center"/>
          </w:tcPr>
          <w:p w14:paraId="0A4EF69C">
            <w:pPr>
              <w:spacing w:line="240" w:lineRule="auto"/>
              <w:jc w:val="center"/>
              <w:rPr>
                <w:rFonts w:hint="eastAsia" w:ascii="宋体" w:hAnsi="宋体" w:cs="宋体"/>
                <w:b/>
                <w:sz w:val="22"/>
                <w:szCs w:val="22"/>
                <w:vertAlign w:val="baseline"/>
              </w:rPr>
            </w:pPr>
          </w:p>
        </w:tc>
        <w:tc>
          <w:tcPr>
            <w:tcW w:w="1964" w:type="dxa"/>
            <w:vAlign w:val="center"/>
          </w:tcPr>
          <w:p w14:paraId="2E105FF3">
            <w:pPr>
              <w:spacing w:line="240" w:lineRule="auto"/>
              <w:jc w:val="center"/>
              <w:rPr>
                <w:rFonts w:hint="eastAsia" w:ascii="宋体" w:hAnsi="宋体" w:cs="宋体"/>
                <w:b/>
                <w:sz w:val="22"/>
                <w:szCs w:val="22"/>
                <w:vertAlign w:val="baseline"/>
              </w:rPr>
            </w:pPr>
          </w:p>
        </w:tc>
      </w:tr>
    </w:tbl>
    <w:p w14:paraId="06ED763C">
      <w:pPr>
        <w:spacing w:line="360" w:lineRule="auto"/>
        <w:ind w:left="0" w:leftChars="0" w:firstLine="0" w:firstLineChars="0"/>
        <w:jc w:val="center"/>
        <w:rPr>
          <w:rFonts w:ascii="宋体" w:hAnsi="宋体" w:cs="宋体"/>
          <w:b/>
          <w:sz w:val="30"/>
          <w:szCs w:val="30"/>
        </w:rPr>
      </w:pPr>
      <w:r>
        <w:rPr>
          <w:rFonts w:hint="eastAsia" w:ascii="宋体" w:hAnsi="宋体" w:cs="宋体"/>
          <w:b/>
          <w:sz w:val="30"/>
          <w:szCs w:val="30"/>
        </w:rPr>
        <w:t xml:space="preserve">                    </w:t>
      </w:r>
    </w:p>
    <w:p w14:paraId="4B734B39">
      <w:pPr>
        <w:rPr>
          <w:rFonts w:hint="eastAsia" w:ascii="宋体" w:hAnsi="宋体" w:cs="宋体"/>
          <w:b/>
          <w:sz w:val="28"/>
        </w:rPr>
      </w:pPr>
      <w:r>
        <w:rPr>
          <w:rFonts w:hint="eastAsia" w:ascii="宋体" w:hAnsi="宋体" w:cs="宋体"/>
          <w:b/>
          <w:sz w:val="28"/>
        </w:rPr>
        <w:br w:type="page"/>
      </w:r>
    </w:p>
    <w:p w14:paraId="364FB364">
      <w:pPr>
        <w:snapToGrid w:val="0"/>
        <w:spacing w:before="156" w:beforeLines="50" w:after="50" w:line="360" w:lineRule="auto"/>
        <w:rPr>
          <w:rFonts w:ascii="宋体" w:hAnsi="宋体" w:cs="宋体"/>
          <w:b/>
          <w:sz w:val="30"/>
          <w:szCs w:val="30"/>
        </w:rPr>
      </w:pPr>
      <w:r>
        <w:rPr>
          <w:rFonts w:hint="eastAsia" w:ascii="宋体" w:hAnsi="宋体" w:cs="宋体"/>
          <w:b/>
          <w:sz w:val="28"/>
        </w:rPr>
        <w:t>附件</w:t>
      </w:r>
      <w:r>
        <w:rPr>
          <w:rFonts w:hint="eastAsia" w:ascii="宋体" w:hAnsi="宋体" w:cs="宋体"/>
          <w:b/>
          <w:sz w:val="28"/>
          <w:lang w:val="en-US" w:eastAsia="zh-CN"/>
        </w:rPr>
        <w:t>6</w:t>
      </w:r>
      <w:r>
        <w:rPr>
          <w:rFonts w:hint="eastAsia" w:ascii="宋体" w:hAnsi="宋体" w:cs="宋体"/>
          <w:b/>
          <w:sz w:val="30"/>
          <w:szCs w:val="30"/>
        </w:rPr>
        <w:t xml:space="preserve">                                    </w:t>
      </w:r>
    </w:p>
    <w:p w14:paraId="18A4E7E3">
      <w:pPr>
        <w:spacing w:line="360" w:lineRule="auto"/>
        <w:ind w:left="-2" w:hanging="2"/>
        <w:jc w:val="center"/>
        <w:rPr>
          <w:rFonts w:ascii="宋体" w:hAnsi="宋体" w:cs="宋体"/>
          <w:b/>
          <w:sz w:val="24"/>
        </w:rPr>
      </w:pPr>
      <w:r>
        <w:rPr>
          <w:rFonts w:hint="eastAsia" w:ascii="宋体" w:hAnsi="宋体" w:cs="宋体"/>
          <w:b/>
          <w:sz w:val="32"/>
          <w:szCs w:val="32"/>
        </w:rPr>
        <w:t xml:space="preserve">开标一览表 </w:t>
      </w:r>
    </w:p>
    <w:p w14:paraId="3CC8179B">
      <w:pPr>
        <w:pStyle w:val="11"/>
        <w:spacing w:line="320" w:lineRule="exact"/>
        <w:rPr>
          <w:rFonts w:hAnsi="宋体" w:cs="宋体"/>
          <w:b/>
          <w:szCs w:val="21"/>
          <w:u w:val="single"/>
        </w:rPr>
      </w:pPr>
      <w:r>
        <w:rPr>
          <w:rFonts w:hint="eastAsia" w:hAnsi="宋体" w:cs="宋体"/>
          <w:b/>
          <w:szCs w:val="21"/>
        </w:rPr>
        <w:t>项目编号：</w:t>
      </w:r>
      <w:r>
        <w:rPr>
          <w:rFonts w:hint="eastAsia" w:hAnsi="宋体" w:cs="宋体"/>
          <w:b/>
          <w:szCs w:val="21"/>
          <w:u w:val="single"/>
        </w:rPr>
        <w:t xml:space="preserve">               </w:t>
      </w:r>
    </w:p>
    <w:p w14:paraId="6A440335">
      <w:pPr>
        <w:pStyle w:val="50"/>
        <w:spacing w:line="360" w:lineRule="auto"/>
        <w:ind w:right="480"/>
        <w:jc w:val="left"/>
        <w:rPr>
          <w:rFonts w:ascii="宋体" w:hAnsi="宋体" w:cs="宋体"/>
          <w:szCs w:val="21"/>
        </w:rPr>
      </w:pPr>
      <w:r>
        <w:rPr>
          <w:rFonts w:hint="eastAsia" w:ascii="宋体" w:hAnsi="宋体" w:cs="宋体"/>
          <w:b/>
          <w:szCs w:val="21"/>
        </w:rPr>
        <w:t>项目名称：</w:t>
      </w:r>
      <w:r>
        <w:rPr>
          <w:rFonts w:hint="eastAsia" w:ascii="宋体" w:hAnsi="宋体" w:cs="宋体"/>
          <w:b/>
          <w:szCs w:val="21"/>
          <w:u w:val="single"/>
        </w:rPr>
        <w:t xml:space="preserve">               </w:t>
      </w:r>
      <w:r>
        <w:rPr>
          <w:rFonts w:hint="eastAsia" w:ascii="宋体" w:hAnsi="宋体" w:cs="宋体"/>
          <w:szCs w:val="21"/>
        </w:rPr>
        <w:t xml:space="preserve">                   </w:t>
      </w:r>
    </w:p>
    <w:tbl>
      <w:tblPr>
        <w:tblStyle w:val="2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566"/>
        <w:gridCol w:w="1407"/>
        <w:gridCol w:w="2160"/>
      </w:tblGrid>
      <w:tr w14:paraId="3DDC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86" w:type="dxa"/>
            <w:tcBorders>
              <w:top w:val="single" w:color="auto" w:sz="4" w:space="0"/>
              <w:left w:val="single" w:color="auto" w:sz="4" w:space="0"/>
              <w:bottom w:val="single" w:color="auto" w:sz="4" w:space="0"/>
              <w:right w:val="single" w:color="auto" w:sz="4" w:space="0"/>
              <w:tl2br w:val="nil"/>
              <w:tr2bl w:val="nil"/>
            </w:tcBorders>
            <w:vAlign w:val="center"/>
          </w:tcPr>
          <w:p w14:paraId="716C51C0">
            <w:pPr>
              <w:jc w:val="center"/>
              <w:rPr>
                <w:rFonts w:ascii="宋体" w:hAnsi="宋体" w:cs="宋体"/>
                <w:b/>
                <w:bCs/>
                <w:szCs w:val="21"/>
              </w:rPr>
            </w:pPr>
            <w:r>
              <w:rPr>
                <w:rFonts w:hint="eastAsia" w:ascii="宋体" w:hAnsi="宋体" w:cs="宋体"/>
                <w:b/>
                <w:bCs/>
                <w:szCs w:val="21"/>
              </w:rPr>
              <w:t>项目名称</w:t>
            </w:r>
          </w:p>
        </w:tc>
        <w:tc>
          <w:tcPr>
            <w:tcW w:w="713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8C93019">
            <w:pPr>
              <w:rPr>
                <w:rFonts w:ascii="宋体" w:hAnsi="宋体" w:cs="宋体"/>
                <w:szCs w:val="21"/>
              </w:rPr>
            </w:pPr>
          </w:p>
        </w:tc>
      </w:tr>
      <w:tr w14:paraId="487A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86" w:type="dxa"/>
            <w:tcBorders>
              <w:top w:val="single" w:color="auto" w:sz="4" w:space="0"/>
              <w:left w:val="single" w:color="auto" w:sz="4" w:space="0"/>
              <w:bottom w:val="single" w:color="auto" w:sz="4" w:space="0"/>
              <w:right w:val="single" w:color="auto" w:sz="4" w:space="0"/>
              <w:tl2br w:val="nil"/>
              <w:tr2bl w:val="nil"/>
            </w:tcBorders>
            <w:vAlign w:val="center"/>
          </w:tcPr>
          <w:p w14:paraId="63D3D9F1">
            <w:pPr>
              <w:jc w:val="center"/>
              <w:rPr>
                <w:rFonts w:ascii="宋体" w:hAnsi="宋体" w:cs="宋体"/>
                <w:b/>
                <w:bCs/>
                <w:szCs w:val="21"/>
              </w:rPr>
            </w:pPr>
            <w:r>
              <w:rPr>
                <w:rFonts w:hint="eastAsia" w:ascii="宋体" w:hAnsi="宋体" w:cs="宋体"/>
                <w:b/>
                <w:bCs/>
                <w:szCs w:val="21"/>
              </w:rPr>
              <w:t>投标人名称</w:t>
            </w:r>
          </w:p>
        </w:tc>
        <w:tc>
          <w:tcPr>
            <w:tcW w:w="713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DE84B62">
            <w:pPr>
              <w:rPr>
                <w:rFonts w:ascii="宋体" w:hAnsi="宋体" w:cs="宋体"/>
                <w:szCs w:val="21"/>
              </w:rPr>
            </w:pPr>
          </w:p>
        </w:tc>
      </w:tr>
      <w:tr w14:paraId="5EA1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086" w:type="dxa"/>
            <w:tcBorders>
              <w:top w:val="single" w:color="auto" w:sz="4" w:space="0"/>
              <w:left w:val="single" w:color="auto" w:sz="4" w:space="0"/>
              <w:bottom w:val="single" w:color="auto" w:sz="4" w:space="0"/>
              <w:right w:val="single" w:color="auto" w:sz="4" w:space="0"/>
              <w:tl2br w:val="nil"/>
              <w:tr2bl w:val="nil"/>
            </w:tcBorders>
            <w:vAlign w:val="center"/>
          </w:tcPr>
          <w:p w14:paraId="5EB72CB1">
            <w:pPr>
              <w:jc w:val="center"/>
              <w:rPr>
                <w:rFonts w:hint="eastAsia" w:ascii="宋体" w:hAnsi="宋体" w:cs="宋体"/>
                <w:b/>
                <w:bCs/>
                <w:szCs w:val="21"/>
              </w:rPr>
            </w:pPr>
            <w:r>
              <w:rPr>
                <w:rFonts w:hint="eastAsia" w:ascii="宋体" w:hAnsi="宋体" w:cs="宋体"/>
                <w:b/>
                <w:bCs/>
                <w:szCs w:val="21"/>
              </w:rPr>
              <w:t>拟推荐集合计划产品名称</w:t>
            </w:r>
          </w:p>
        </w:tc>
        <w:tc>
          <w:tcPr>
            <w:tcW w:w="3566" w:type="dxa"/>
            <w:tcBorders>
              <w:top w:val="single" w:color="auto" w:sz="4" w:space="0"/>
              <w:left w:val="single" w:color="auto" w:sz="4" w:space="0"/>
              <w:bottom w:val="single" w:color="auto" w:sz="4" w:space="0"/>
              <w:right w:val="single" w:color="auto" w:sz="4" w:space="0"/>
              <w:tl2br w:val="nil"/>
              <w:tr2bl w:val="nil"/>
            </w:tcBorders>
            <w:vAlign w:val="center"/>
          </w:tcPr>
          <w:p w14:paraId="44E6C614">
            <w:pPr>
              <w:rPr>
                <w:rFonts w:ascii="宋体" w:hAnsi="宋体" w:cs="宋体"/>
                <w:szCs w:val="21"/>
              </w:rPr>
            </w:pPr>
          </w:p>
        </w:tc>
        <w:tc>
          <w:tcPr>
            <w:tcW w:w="1407" w:type="dxa"/>
            <w:tcBorders>
              <w:top w:val="single" w:color="auto" w:sz="4" w:space="0"/>
              <w:left w:val="single" w:color="auto" w:sz="4" w:space="0"/>
              <w:bottom w:val="single" w:color="auto" w:sz="4" w:space="0"/>
              <w:right w:val="single" w:color="auto" w:sz="4" w:space="0"/>
              <w:tl2br w:val="nil"/>
              <w:tr2bl w:val="nil"/>
            </w:tcBorders>
            <w:vAlign w:val="center"/>
          </w:tcPr>
          <w:p w14:paraId="3EC97574">
            <w:pPr>
              <w:jc w:val="center"/>
              <w:rPr>
                <w:rFonts w:hint="default" w:ascii="宋体" w:hAnsi="宋体" w:eastAsia="宋体" w:cs="宋体"/>
                <w:b/>
                <w:bCs/>
                <w:szCs w:val="21"/>
                <w:lang w:val="en-US" w:eastAsia="zh-CN"/>
              </w:rPr>
            </w:pPr>
            <w:r>
              <w:rPr>
                <w:rFonts w:hint="eastAsia" w:ascii="宋体" w:hAnsi="宋体" w:cs="宋体"/>
                <w:b/>
                <w:bCs/>
                <w:kern w:val="0"/>
                <w:szCs w:val="21"/>
              </w:rPr>
              <w:t>受托管理费</w:t>
            </w:r>
            <w:r>
              <w:rPr>
                <w:rFonts w:hint="eastAsia" w:ascii="宋体" w:hAnsi="宋体" w:cs="宋体"/>
                <w:b/>
                <w:bCs/>
                <w:kern w:val="0"/>
                <w:szCs w:val="21"/>
                <w:lang w:val="en-US" w:eastAsia="zh-CN"/>
              </w:rPr>
              <w:t>率报价</w:t>
            </w: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4557F46B">
            <w:pPr>
              <w:ind w:left="0" w:leftChars="0" w:firstLine="1058" w:firstLineChars="504"/>
              <w:rPr>
                <w:rFonts w:hint="eastAsia" w:ascii="宋体" w:hAnsi="宋体" w:eastAsia="宋体" w:cs="宋体"/>
                <w:szCs w:val="21"/>
                <w:lang w:val="en-US" w:eastAsia="zh-CN"/>
              </w:rPr>
            </w:pPr>
            <w:r>
              <w:rPr>
                <w:rFonts w:hint="eastAsia" w:ascii="宋体" w:hAnsi="宋体" w:cs="宋体"/>
                <w:szCs w:val="21"/>
                <w:lang w:val="en-US" w:eastAsia="zh-CN"/>
              </w:rPr>
              <w:t>%</w:t>
            </w:r>
          </w:p>
        </w:tc>
      </w:tr>
      <w:tr w14:paraId="73A8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21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6AA583BF">
            <w:pPr>
              <w:rPr>
                <w:rFonts w:ascii="宋体" w:hAnsi="宋体" w:cs="宋体"/>
                <w:szCs w:val="21"/>
              </w:rPr>
            </w:pPr>
            <w:r>
              <w:rPr>
                <w:rFonts w:hint="eastAsia" w:ascii="宋体" w:hAnsi="宋体" w:cs="宋体"/>
                <w:szCs w:val="21"/>
              </w:rPr>
              <w:t>管理费报价说明（按年计算）</w:t>
            </w:r>
          </w:p>
          <w:p w14:paraId="1769BA15">
            <w:pPr>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要求每家投标人推荐1个集合计划供选择；</w:t>
            </w:r>
          </w:p>
          <w:p w14:paraId="593F2F45">
            <w:pPr>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管理费率指年管理费占企业年金基金资产净值的百分比，但须是一个具体的数额或比例，不得是一个范围值，账户管理费要写明金额；</w:t>
            </w:r>
          </w:p>
          <w:p w14:paraId="4AF18FAA">
            <w:pP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、投标人提供的其他增值服务或特别承诺的请另行标注说明。</w:t>
            </w:r>
          </w:p>
          <w:p w14:paraId="474985D4">
            <w:pPr>
              <w:pStyle w:val="7"/>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、如出现不符合以上要求的报价，将视为该报价无效。</w:t>
            </w:r>
          </w:p>
        </w:tc>
      </w:tr>
    </w:tbl>
    <w:p w14:paraId="2FB60D9B">
      <w:pPr>
        <w:spacing w:line="360" w:lineRule="auto"/>
        <w:rPr>
          <w:rFonts w:ascii="宋体" w:hAnsi="宋体" w:cs="宋体"/>
          <w:szCs w:val="21"/>
        </w:rPr>
      </w:pPr>
      <w:r>
        <w:rPr>
          <w:rFonts w:hint="eastAsia" w:ascii="宋体" w:hAnsi="宋体" w:cs="宋体"/>
          <w:b/>
          <w:szCs w:val="21"/>
        </w:rPr>
        <w:t>填报要求：</w:t>
      </w:r>
    </w:p>
    <w:p w14:paraId="04E7D795">
      <w:pPr>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szCs w:val="21"/>
        </w:rPr>
        <w:t>投标报价应当包括利润、规费、税金、政策性文件规定及合同包含的所有风险、责任等所有费用</w:t>
      </w:r>
      <w:r>
        <w:rPr>
          <w:rFonts w:hint="eastAsia" w:ascii="宋体" w:hAnsi="宋体" w:cs="宋体"/>
          <w:kern w:val="0"/>
          <w:szCs w:val="21"/>
        </w:rPr>
        <w:t>。</w:t>
      </w:r>
    </w:p>
    <w:p w14:paraId="2F3CEBCE">
      <w:pPr>
        <w:spacing w:line="360" w:lineRule="auto"/>
        <w:ind w:firstLine="420" w:firstLineChars="200"/>
        <w:rPr>
          <w:rFonts w:ascii="宋体" w:hAnsi="宋体" w:cs="宋体"/>
          <w:kern w:val="0"/>
          <w:szCs w:val="21"/>
        </w:rPr>
      </w:pPr>
      <w:r>
        <w:rPr>
          <w:rFonts w:hint="eastAsia" w:ascii="宋体" w:hAnsi="宋体" w:cs="宋体"/>
          <w:kern w:val="0"/>
          <w:szCs w:val="21"/>
        </w:rPr>
        <w:t>2、报价一经涂改，应在涂改处加盖单位公章，或者由法定代表人或授权委托代理人签字或盖章，否则作无效标处理。</w:t>
      </w:r>
    </w:p>
    <w:p w14:paraId="13C8F664">
      <w:pPr>
        <w:spacing w:line="360" w:lineRule="auto"/>
        <w:ind w:left="0" w:leftChars="0" w:firstLine="218" w:firstLineChars="104"/>
        <w:rPr>
          <w:rFonts w:ascii="宋体" w:hAnsi="宋体" w:cs="宋体"/>
          <w:kern w:val="0"/>
          <w:szCs w:val="21"/>
        </w:rPr>
      </w:pPr>
      <w:r>
        <w:rPr>
          <w:rFonts w:hint="eastAsia" w:ascii="宋体" w:hAnsi="宋体" w:cs="宋体"/>
          <w:kern w:val="0"/>
          <w:szCs w:val="21"/>
        </w:rPr>
        <w:t>▲3、最高限价：管理费用不得超过《企业年金基金管理办法》规定的上限，即：受托人年度提取的管理费不高于受托管理企业年金基金财产净值的0.2%。报价超过最高限价，将被否决。</w:t>
      </w:r>
    </w:p>
    <w:p w14:paraId="294838A0">
      <w:pPr>
        <w:spacing w:line="320" w:lineRule="exact"/>
        <w:ind w:left="420"/>
        <w:rPr>
          <w:rFonts w:ascii="宋体" w:hAnsi="宋体" w:cs="宋体"/>
          <w:szCs w:val="21"/>
        </w:rPr>
      </w:pPr>
    </w:p>
    <w:p w14:paraId="02EDE08A">
      <w:pPr>
        <w:adjustRightInd w:val="0"/>
        <w:snapToGrid w:val="0"/>
        <w:spacing w:line="360" w:lineRule="auto"/>
        <w:ind w:left="0" w:leftChars="0" w:firstLine="4200" w:firstLineChars="2000"/>
        <w:rPr>
          <w:rFonts w:ascii="宋体" w:hAnsi="宋体" w:cs="宋体"/>
          <w:kern w:val="0"/>
          <w:szCs w:val="21"/>
          <w:lang w:val="zh-CN"/>
        </w:rPr>
      </w:pPr>
      <w:r>
        <w:rPr>
          <w:rFonts w:hint="eastAsia" w:ascii="宋体" w:hAnsi="宋体" w:cs="宋体"/>
          <w:kern w:val="0"/>
          <w:szCs w:val="21"/>
          <w:lang w:val="zh-CN"/>
        </w:rPr>
        <w:t>供应商名称(公章)：</w:t>
      </w:r>
    </w:p>
    <w:p w14:paraId="11495612">
      <w:pPr>
        <w:adjustRightInd w:val="0"/>
        <w:snapToGrid w:val="0"/>
        <w:spacing w:line="360" w:lineRule="auto"/>
        <w:ind w:left="0" w:leftChars="0" w:firstLine="4200" w:firstLineChars="2000"/>
        <w:rPr>
          <w:rFonts w:ascii="宋体" w:hAnsi="宋体" w:cs="宋体"/>
          <w:kern w:val="0"/>
          <w:szCs w:val="21"/>
          <w:lang w:val="zh-CN"/>
        </w:rPr>
      </w:pPr>
      <w:r>
        <w:rPr>
          <w:rFonts w:hint="eastAsia" w:ascii="宋体" w:hAnsi="宋体" w:cs="宋体"/>
          <w:kern w:val="0"/>
          <w:szCs w:val="21"/>
          <w:lang w:val="zh-CN"/>
        </w:rPr>
        <w:t>法定代表人或授权委托</w:t>
      </w:r>
      <w:r>
        <w:rPr>
          <w:rFonts w:hint="eastAsia" w:ascii="宋体" w:hAnsi="宋体" w:cs="宋体"/>
          <w:kern w:val="0"/>
          <w:szCs w:val="21"/>
        </w:rPr>
        <w:t>代理</w:t>
      </w:r>
      <w:r>
        <w:rPr>
          <w:rFonts w:hint="eastAsia" w:ascii="宋体" w:hAnsi="宋体" w:cs="宋体"/>
          <w:kern w:val="0"/>
          <w:szCs w:val="21"/>
          <w:lang w:val="zh-CN"/>
        </w:rPr>
        <w:t>人(签字</w:t>
      </w:r>
      <w:r>
        <w:rPr>
          <w:rFonts w:hint="eastAsia" w:ascii="宋体" w:hAnsi="宋体" w:cs="宋体"/>
          <w:kern w:val="0"/>
          <w:szCs w:val="21"/>
        </w:rPr>
        <w:t>或盖章</w:t>
      </w:r>
      <w:r>
        <w:rPr>
          <w:rFonts w:hint="eastAsia" w:ascii="宋体" w:hAnsi="宋体" w:cs="宋体"/>
          <w:kern w:val="0"/>
          <w:szCs w:val="21"/>
          <w:lang w:val="zh-CN"/>
        </w:rPr>
        <w:t>)：</w:t>
      </w:r>
    </w:p>
    <w:p w14:paraId="60E8063A">
      <w:pPr>
        <w:adjustRightInd w:val="0"/>
        <w:snapToGrid w:val="0"/>
        <w:spacing w:line="360" w:lineRule="auto"/>
        <w:ind w:left="0" w:leftChars="0" w:right="480" w:firstLine="4200" w:firstLineChars="2000"/>
        <w:jc w:val="left"/>
        <w:rPr>
          <w:rFonts w:ascii="宋体" w:hAnsi="宋体" w:cs="宋体"/>
        </w:rPr>
      </w:pPr>
      <w:r>
        <w:rPr>
          <w:rFonts w:hint="eastAsia" w:ascii="宋体" w:hAnsi="宋体" w:cs="宋体"/>
          <w:kern w:val="0"/>
          <w:szCs w:val="21"/>
          <w:lang w:val="zh-CN"/>
        </w:rPr>
        <w:t>日期：年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DCDD4">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60EC2">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7160EC2">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4BF55">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B08635">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a+TjvDICAABjBAAADgAAAGRycy9lMm9Eb2MueG1srVTNjtMwEL4j&#10;8Q6W7zRpWVZV1XRVtipCqtiVFsTZdZwmkv9ku03KA8AbcOLCnefqc/DZabpo4bAHLunYM/5mvm9m&#10;Or/plCQH4XxjdEHHo5wSobkpG70r6KeP61dTSnxgumTSaFHQo/D0ZvHyxby1MzExtZGlcAQg2s9a&#10;W9A6BDvLMs9roZgfGSs0nJVxigUc3S4rHWuBrmQ2yfPrrDWutM5w4T1uV72TnhHdcwBNVTVcrAzf&#10;K6FDj+qEZAGUfN1YTxep2qoSPNxVlReByIKCaUhfJIG9jd9sMWeznWO2bvi5BPacEp5wUqzRSHqB&#10;WrHAyN41f0GphjvjTRVG3KisJ5IUAYtx/kSbh5pZkbhAam8vovv/B8s/HO4dacqCXlGimULDT9+/&#10;nX78Ov38Sq6iPK31M0Q9WMSF7q3pMDTDvcdlZN1VTsVf8CHwQ9zjRVzRBcLjo+lkOs3h4vANB+Bn&#10;j8+t8+GdMIpEo6AO3UuissPGhz50CInZtFk3UqYOSk3agl6/fpOnBxcPwKWOsSLNwhkmUupLj1bo&#10;tt2Z59aUR9B0pp8Tb/m6QSkb5sM9cxgMlI/VCXf4VNIgpTlblNTGffnXfYxHv+ClpMWgFVRjryiR&#10;7zX6CMAwGG4wtoOh9+rWYHLHWEnLk4kHLsjBrJxRn7FPy5gDLqY5MhU0DOZt6Icd+8jFcpmCMHmW&#10;hY1+sDxCR3m8Xe4D5EwqR1F6JdCdeMDspT6d9yQO95/nFPX43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DF8ZnSAAAABAEAAA8AAAAAAAAAAQAgAAAAIgAAAGRycy9kb3ducmV2LnhtbFBLAQIU&#10;ABQAAAAIAIdO4kBr5OO8MgIAAGMEAAAOAAAAAAAAAAEAIAAAACEBAABkcnMvZTJvRG9jLnhtbFBL&#10;BQYAAAAABgAGAFkBAADFBQAAAAA=&#10;">
              <v:fill on="f" focussize="0,0"/>
              <v:stroke on="f" weight="0.5pt"/>
              <v:imagedata o:title=""/>
              <o:lock v:ext="edit" aspectratio="f"/>
              <v:textbox inset="0mm,0mm,0mm,0mm" style="mso-fit-shape-to-text:t;">
                <w:txbxContent>
                  <w:p w14:paraId="5AB08635">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5B15D">
    <w:pPr>
      <w:pStyle w:val="16"/>
      <w:framePr w:wrap="around" w:vAnchor="text" w:hAnchor="page" w:x="5909" w:y="26"/>
      <w:rPr>
        <w:rStyle w:val="30"/>
        <w:sz w:val="24"/>
        <w:szCs w:val="24"/>
      </w:rPr>
    </w:pPr>
    <w:r>
      <w:rPr>
        <w:sz w:val="24"/>
        <w:szCs w:val="24"/>
      </w:rPr>
      <w:fldChar w:fldCharType="begin"/>
    </w:r>
    <w:r>
      <w:rPr>
        <w:rStyle w:val="30"/>
        <w:sz w:val="24"/>
        <w:szCs w:val="24"/>
      </w:rPr>
      <w:instrText xml:space="preserve">PAGE  </w:instrText>
    </w:r>
    <w:r>
      <w:rPr>
        <w:sz w:val="24"/>
        <w:szCs w:val="24"/>
      </w:rPr>
      <w:fldChar w:fldCharType="separate"/>
    </w:r>
    <w:r>
      <w:rPr>
        <w:rStyle w:val="30"/>
        <w:sz w:val="24"/>
        <w:szCs w:val="24"/>
      </w:rPr>
      <w:t>19</w:t>
    </w:r>
    <w:r>
      <w:rPr>
        <w:sz w:val="24"/>
        <w:szCs w:val="24"/>
      </w:rPr>
      <w:fldChar w:fldCharType="end"/>
    </w:r>
  </w:p>
  <w:p w14:paraId="6284F8B3">
    <w:pPr>
      <w:pStyle w:val="16"/>
      <w:ind w:right="360"/>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40C8F">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9689D">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329689D">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9A0BC">
    <w:pPr>
      <w:rPr>
        <w:iCs/>
      </w:rPr>
    </w:pPr>
    <w:r>
      <w:rPr>
        <w:rFonts w:hint="eastAsia"/>
        <w:b/>
        <w:iCs/>
        <w:color w:val="000000"/>
        <w:kern w:val="0"/>
        <w:sz w:val="18"/>
        <w:u w:val="single"/>
      </w:rPr>
      <w:t>竞争性磋商文件</w:t>
    </w:r>
    <w:r>
      <w:rPr>
        <w:b/>
        <w:iCs/>
        <w:color w:val="000000"/>
        <w:kern w:val="0"/>
        <w:sz w:val="18"/>
        <w:u w:val="single"/>
      </w:rPr>
      <w:t>--</w:t>
    </w:r>
    <w:r>
      <w:rPr>
        <w:rFonts w:hint="eastAsia"/>
        <w:b/>
        <w:iCs/>
        <w:color w:val="000000"/>
        <w:kern w:val="0"/>
        <w:sz w:val="18"/>
        <w:u w:val="single"/>
      </w:rPr>
      <w:t>企业年金基金受托管理服务项目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21949">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1">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YjIxNWNhZWZjM2JhMjIwYzYzOGE4MjY2ZTQ1NTYifQ=="/>
  </w:docVars>
  <w:rsids>
    <w:rsidRoot w:val="00BE3149"/>
    <w:rsid w:val="0008396C"/>
    <w:rsid w:val="0031522F"/>
    <w:rsid w:val="003C6577"/>
    <w:rsid w:val="00532108"/>
    <w:rsid w:val="00766E2B"/>
    <w:rsid w:val="00992B20"/>
    <w:rsid w:val="009B7365"/>
    <w:rsid w:val="009C6908"/>
    <w:rsid w:val="009E7B9B"/>
    <w:rsid w:val="00AF5C1B"/>
    <w:rsid w:val="00BE3149"/>
    <w:rsid w:val="00D27694"/>
    <w:rsid w:val="00D750DD"/>
    <w:rsid w:val="00E04ED8"/>
    <w:rsid w:val="00E3139F"/>
    <w:rsid w:val="00FF74E6"/>
    <w:rsid w:val="01011432"/>
    <w:rsid w:val="01463D6F"/>
    <w:rsid w:val="01570814"/>
    <w:rsid w:val="02115BBF"/>
    <w:rsid w:val="02380D19"/>
    <w:rsid w:val="02DE04AC"/>
    <w:rsid w:val="036C1E9F"/>
    <w:rsid w:val="03727102"/>
    <w:rsid w:val="041E51AB"/>
    <w:rsid w:val="043F7FC4"/>
    <w:rsid w:val="05537D0A"/>
    <w:rsid w:val="065F7326"/>
    <w:rsid w:val="07685A63"/>
    <w:rsid w:val="08390248"/>
    <w:rsid w:val="08747CF8"/>
    <w:rsid w:val="08E033B1"/>
    <w:rsid w:val="098B0028"/>
    <w:rsid w:val="098D38CE"/>
    <w:rsid w:val="09E03F7D"/>
    <w:rsid w:val="09F33DD0"/>
    <w:rsid w:val="0AAA550E"/>
    <w:rsid w:val="0ACA7374"/>
    <w:rsid w:val="0AF64F0D"/>
    <w:rsid w:val="0AF65D85"/>
    <w:rsid w:val="0B49127D"/>
    <w:rsid w:val="0B8254ED"/>
    <w:rsid w:val="0BD425B7"/>
    <w:rsid w:val="0BFB1E74"/>
    <w:rsid w:val="0C181AC6"/>
    <w:rsid w:val="0C48379E"/>
    <w:rsid w:val="0C67294C"/>
    <w:rsid w:val="0C8E034D"/>
    <w:rsid w:val="0C8F3D96"/>
    <w:rsid w:val="0CA37D5B"/>
    <w:rsid w:val="0D074274"/>
    <w:rsid w:val="0D1F4CD0"/>
    <w:rsid w:val="0DD04A4B"/>
    <w:rsid w:val="0DDB664A"/>
    <w:rsid w:val="0E0F138C"/>
    <w:rsid w:val="0E2E1F87"/>
    <w:rsid w:val="0E821AFF"/>
    <w:rsid w:val="0EAF327B"/>
    <w:rsid w:val="0EEB0CC5"/>
    <w:rsid w:val="0F7E6199"/>
    <w:rsid w:val="0F8C6010"/>
    <w:rsid w:val="0FCF253F"/>
    <w:rsid w:val="0FE74D1C"/>
    <w:rsid w:val="102730C4"/>
    <w:rsid w:val="102A25B1"/>
    <w:rsid w:val="10452B67"/>
    <w:rsid w:val="107B1B65"/>
    <w:rsid w:val="10833BEE"/>
    <w:rsid w:val="108356E9"/>
    <w:rsid w:val="109F080C"/>
    <w:rsid w:val="11065212"/>
    <w:rsid w:val="115E7CF3"/>
    <w:rsid w:val="119337DA"/>
    <w:rsid w:val="11CB2048"/>
    <w:rsid w:val="121665CB"/>
    <w:rsid w:val="12704EB7"/>
    <w:rsid w:val="12EC03CE"/>
    <w:rsid w:val="13763F01"/>
    <w:rsid w:val="13AE458D"/>
    <w:rsid w:val="13F55B56"/>
    <w:rsid w:val="14D75613"/>
    <w:rsid w:val="14F670A8"/>
    <w:rsid w:val="153756BC"/>
    <w:rsid w:val="1561612A"/>
    <w:rsid w:val="168339D9"/>
    <w:rsid w:val="169B7F0A"/>
    <w:rsid w:val="16D70F66"/>
    <w:rsid w:val="171D6CDD"/>
    <w:rsid w:val="17461D47"/>
    <w:rsid w:val="17681DB3"/>
    <w:rsid w:val="17D2330C"/>
    <w:rsid w:val="17F41B20"/>
    <w:rsid w:val="189746FE"/>
    <w:rsid w:val="189D5A8C"/>
    <w:rsid w:val="19037516"/>
    <w:rsid w:val="19906125"/>
    <w:rsid w:val="1A096A41"/>
    <w:rsid w:val="1A4258F6"/>
    <w:rsid w:val="1BC0155F"/>
    <w:rsid w:val="1BF72349"/>
    <w:rsid w:val="1C792D1E"/>
    <w:rsid w:val="1CC61F19"/>
    <w:rsid w:val="1D465475"/>
    <w:rsid w:val="1D5F6564"/>
    <w:rsid w:val="1DC37D43"/>
    <w:rsid w:val="1F162724"/>
    <w:rsid w:val="1F193E2A"/>
    <w:rsid w:val="1F433E5B"/>
    <w:rsid w:val="1F4568D9"/>
    <w:rsid w:val="1F5C5806"/>
    <w:rsid w:val="1F841754"/>
    <w:rsid w:val="1F897389"/>
    <w:rsid w:val="201C7B31"/>
    <w:rsid w:val="20711B73"/>
    <w:rsid w:val="20AA0083"/>
    <w:rsid w:val="20ED3C16"/>
    <w:rsid w:val="213F1987"/>
    <w:rsid w:val="21A05AE4"/>
    <w:rsid w:val="21DB0C11"/>
    <w:rsid w:val="224700DF"/>
    <w:rsid w:val="22B365D8"/>
    <w:rsid w:val="22F82660"/>
    <w:rsid w:val="22FC05A4"/>
    <w:rsid w:val="23D44B53"/>
    <w:rsid w:val="23FA686C"/>
    <w:rsid w:val="23FF58D8"/>
    <w:rsid w:val="2412732E"/>
    <w:rsid w:val="24C22B02"/>
    <w:rsid w:val="25056E93"/>
    <w:rsid w:val="25184C3B"/>
    <w:rsid w:val="25630FB5"/>
    <w:rsid w:val="257C53A7"/>
    <w:rsid w:val="257D5453"/>
    <w:rsid w:val="265B348D"/>
    <w:rsid w:val="269D2AB1"/>
    <w:rsid w:val="27C43035"/>
    <w:rsid w:val="28233AD4"/>
    <w:rsid w:val="290D4AE9"/>
    <w:rsid w:val="29EC63FE"/>
    <w:rsid w:val="29F647FF"/>
    <w:rsid w:val="2A07788E"/>
    <w:rsid w:val="2AF47655"/>
    <w:rsid w:val="2B6504C0"/>
    <w:rsid w:val="2B6954E0"/>
    <w:rsid w:val="2C3A7139"/>
    <w:rsid w:val="2D454573"/>
    <w:rsid w:val="2D480265"/>
    <w:rsid w:val="2DCA1BED"/>
    <w:rsid w:val="2DD342C6"/>
    <w:rsid w:val="2DD65871"/>
    <w:rsid w:val="2E915781"/>
    <w:rsid w:val="2EED2043"/>
    <w:rsid w:val="2F0A2C62"/>
    <w:rsid w:val="2F25295B"/>
    <w:rsid w:val="2F7B1BB4"/>
    <w:rsid w:val="2FF62F97"/>
    <w:rsid w:val="300B47F9"/>
    <w:rsid w:val="309703E8"/>
    <w:rsid w:val="30B558B8"/>
    <w:rsid w:val="30BE080C"/>
    <w:rsid w:val="30CF5D28"/>
    <w:rsid w:val="3117323B"/>
    <w:rsid w:val="315B0B41"/>
    <w:rsid w:val="31A517E2"/>
    <w:rsid w:val="323740AF"/>
    <w:rsid w:val="32411BFA"/>
    <w:rsid w:val="32984C31"/>
    <w:rsid w:val="32CE2FBA"/>
    <w:rsid w:val="334002FD"/>
    <w:rsid w:val="33C17DC2"/>
    <w:rsid w:val="34772ADD"/>
    <w:rsid w:val="34C07321"/>
    <w:rsid w:val="34DC4C54"/>
    <w:rsid w:val="35C269DB"/>
    <w:rsid w:val="35E343CC"/>
    <w:rsid w:val="36781524"/>
    <w:rsid w:val="36D706BD"/>
    <w:rsid w:val="370347E8"/>
    <w:rsid w:val="370D218E"/>
    <w:rsid w:val="373B6744"/>
    <w:rsid w:val="378A6A48"/>
    <w:rsid w:val="37940B00"/>
    <w:rsid w:val="3892350B"/>
    <w:rsid w:val="397E6A52"/>
    <w:rsid w:val="399D67C3"/>
    <w:rsid w:val="3A047206"/>
    <w:rsid w:val="3A163737"/>
    <w:rsid w:val="3A316D41"/>
    <w:rsid w:val="3A3E4582"/>
    <w:rsid w:val="3A791AB3"/>
    <w:rsid w:val="3A7A6F1E"/>
    <w:rsid w:val="3B494193"/>
    <w:rsid w:val="3B6C3489"/>
    <w:rsid w:val="3BEB114B"/>
    <w:rsid w:val="3C172EBC"/>
    <w:rsid w:val="3C7B7D0F"/>
    <w:rsid w:val="3D05039B"/>
    <w:rsid w:val="3D314871"/>
    <w:rsid w:val="3D3E5A8D"/>
    <w:rsid w:val="3D452EB6"/>
    <w:rsid w:val="3D45379D"/>
    <w:rsid w:val="3F761A35"/>
    <w:rsid w:val="3F942C32"/>
    <w:rsid w:val="3F95513E"/>
    <w:rsid w:val="409B585E"/>
    <w:rsid w:val="409F3D5E"/>
    <w:rsid w:val="416F0E3A"/>
    <w:rsid w:val="41AC61CA"/>
    <w:rsid w:val="41B63597"/>
    <w:rsid w:val="41B9361D"/>
    <w:rsid w:val="41D34C85"/>
    <w:rsid w:val="426F4667"/>
    <w:rsid w:val="42705D61"/>
    <w:rsid w:val="42716CE5"/>
    <w:rsid w:val="42D00689"/>
    <w:rsid w:val="42D3503A"/>
    <w:rsid w:val="43AE45F3"/>
    <w:rsid w:val="43EA39CC"/>
    <w:rsid w:val="4412111F"/>
    <w:rsid w:val="44421460"/>
    <w:rsid w:val="445B0525"/>
    <w:rsid w:val="4472777C"/>
    <w:rsid w:val="45045743"/>
    <w:rsid w:val="45552206"/>
    <w:rsid w:val="4615714D"/>
    <w:rsid w:val="470C249A"/>
    <w:rsid w:val="47590C03"/>
    <w:rsid w:val="47C11F07"/>
    <w:rsid w:val="47E83667"/>
    <w:rsid w:val="4831562F"/>
    <w:rsid w:val="485246CB"/>
    <w:rsid w:val="4853499F"/>
    <w:rsid w:val="49C225B4"/>
    <w:rsid w:val="4A6A77A1"/>
    <w:rsid w:val="4B174033"/>
    <w:rsid w:val="4C392F39"/>
    <w:rsid w:val="4CA47976"/>
    <w:rsid w:val="4CF72E0A"/>
    <w:rsid w:val="4DA846DC"/>
    <w:rsid w:val="4DB34838"/>
    <w:rsid w:val="4E2843F9"/>
    <w:rsid w:val="4E2F2143"/>
    <w:rsid w:val="4E3623E0"/>
    <w:rsid w:val="4F2C3FE4"/>
    <w:rsid w:val="4F3330C7"/>
    <w:rsid w:val="4F4966DE"/>
    <w:rsid w:val="4FB629B4"/>
    <w:rsid w:val="516C77CE"/>
    <w:rsid w:val="517364CA"/>
    <w:rsid w:val="51B54A92"/>
    <w:rsid w:val="51D55AB7"/>
    <w:rsid w:val="52D57DC1"/>
    <w:rsid w:val="537E2D4C"/>
    <w:rsid w:val="53CF6F91"/>
    <w:rsid w:val="5402266C"/>
    <w:rsid w:val="54CF56D2"/>
    <w:rsid w:val="55222FC6"/>
    <w:rsid w:val="553B3647"/>
    <w:rsid w:val="554C54E6"/>
    <w:rsid w:val="55B001CD"/>
    <w:rsid w:val="55FC25AC"/>
    <w:rsid w:val="56D205C9"/>
    <w:rsid w:val="5788062B"/>
    <w:rsid w:val="581851D6"/>
    <w:rsid w:val="58210D49"/>
    <w:rsid w:val="584D54B7"/>
    <w:rsid w:val="58C252AC"/>
    <w:rsid w:val="59FB2037"/>
    <w:rsid w:val="5A1510CA"/>
    <w:rsid w:val="5A3522AF"/>
    <w:rsid w:val="5B1E363C"/>
    <w:rsid w:val="5BBC3082"/>
    <w:rsid w:val="5BD30906"/>
    <w:rsid w:val="5BDB0F27"/>
    <w:rsid w:val="5BDE19EB"/>
    <w:rsid w:val="5C1D6295"/>
    <w:rsid w:val="5C5E62CC"/>
    <w:rsid w:val="5C8A42C3"/>
    <w:rsid w:val="5CEF1B51"/>
    <w:rsid w:val="5D487E0B"/>
    <w:rsid w:val="5DF11787"/>
    <w:rsid w:val="5DF72B16"/>
    <w:rsid w:val="5E9C5841"/>
    <w:rsid w:val="601B0D3D"/>
    <w:rsid w:val="60934107"/>
    <w:rsid w:val="60BD1FFE"/>
    <w:rsid w:val="60D5759B"/>
    <w:rsid w:val="60DF3C41"/>
    <w:rsid w:val="61F5736C"/>
    <w:rsid w:val="62107202"/>
    <w:rsid w:val="62D41677"/>
    <w:rsid w:val="63882CAA"/>
    <w:rsid w:val="63D715A1"/>
    <w:rsid w:val="6444218A"/>
    <w:rsid w:val="648916E2"/>
    <w:rsid w:val="64BE6EDE"/>
    <w:rsid w:val="660C5D78"/>
    <w:rsid w:val="66652D12"/>
    <w:rsid w:val="667009BA"/>
    <w:rsid w:val="6677259E"/>
    <w:rsid w:val="66950943"/>
    <w:rsid w:val="66B95252"/>
    <w:rsid w:val="67592DBD"/>
    <w:rsid w:val="67DC7CE8"/>
    <w:rsid w:val="68287B36"/>
    <w:rsid w:val="68877B1A"/>
    <w:rsid w:val="6932492F"/>
    <w:rsid w:val="69B953EA"/>
    <w:rsid w:val="6A3F5132"/>
    <w:rsid w:val="6AB11E2C"/>
    <w:rsid w:val="6AF35486"/>
    <w:rsid w:val="6B0242A5"/>
    <w:rsid w:val="6B0D4790"/>
    <w:rsid w:val="6B862B4A"/>
    <w:rsid w:val="6B88368F"/>
    <w:rsid w:val="6BF64EAE"/>
    <w:rsid w:val="6CBE1B1F"/>
    <w:rsid w:val="6E5D63FA"/>
    <w:rsid w:val="6F105BD5"/>
    <w:rsid w:val="6F156B47"/>
    <w:rsid w:val="6F220321"/>
    <w:rsid w:val="6F52577A"/>
    <w:rsid w:val="6F8A4A0A"/>
    <w:rsid w:val="6FB15151"/>
    <w:rsid w:val="6FB21323"/>
    <w:rsid w:val="71D1103D"/>
    <w:rsid w:val="71F41601"/>
    <w:rsid w:val="723F7994"/>
    <w:rsid w:val="73047E71"/>
    <w:rsid w:val="73590482"/>
    <w:rsid w:val="73E00E2F"/>
    <w:rsid w:val="73FD3371"/>
    <w:rsid w:val="740260EF"/>
    <w:rsid w:val="748266FC"/>
    <w:rsid w:val="748A5E17"/>
    <w:rsid w:val="74B0277E"/>
    <w:rsid w:val="74DB076E"/>
    <w:rsid w:val="751403F5"/>
    <w:rsid w:val="753C6785"/>
    <w:rsid w:val="75447AF6"/>
    <w:rsid w:val="754E350B"/>
    <w:rsid w:val="75A03D67"/>
    <w:rsid w:val="75D37F8A"/>
    <w:rsid w:val="75EC7E18"/>
    <w:rsid w:val="764566BC"/>
    <w:rsid w:val="76522C55"/>
    <w:rsid w:val="767D593D"/>
    <w:rsid w:val="768659BD"/>
    <w:rsid w:val="76D43F8B"/>
    <w:rsid w:val="76DE441B"/>
    <w:rsid w:val="770A7D21"/>
    <w:rsid w:val="77916C16"/>
    <w:rsid w:val="77B0242F"/>
    <w:rsid w:val="77B373A2"/>
    <w:rsid w:val="78E41C51"/>
    <w:rsid w:val="79216F57"/>
    <w:rsid w:val="796E0E66"/>
    <w:rsid w:val="7AB30815"/>
    <w:rsid w:val="7AE07CFD"/>
    <w:rsid w:val="7B376CA9"/>
    <w:rsid w:val="7D043DF7"/>
    <w:rsid w:val="7DAA5FB8"/>
    <w:rsid w:val="7E4E7602"/>
    <w:rsid w:val="7ECE1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宋体" w:hAnsi="宋体"/>
      <w:b/>
      <w:bCs/>
      <w:sz w:val="24"/>
    </w:rPr>
  </w:style>
  <w:style w:type="paragraph" w:styleId="3">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annotation text"/>
    <w:basedOn w:val="1"/>
    <w:link w:val="60"/>
    <w:qFormat/>
    <w:uiPriority w:val="0"/>
    <w:pPr>
      <w:jc w:val="left"/>
    </w:pPr>
  </w:style>
  <w:style w:type="paragraph" w:styleId="7">
    <w:name w:val="Body Text"/>
    <w:basedOn w:val="1"/>
    <w:next w:val="8"/>
    <w:link w:val="34"/>
    <w:unhideWhenUsed/>
    <w:qFormat/>
    <w:uiPriority w:val="99"/>
    <w:pPr>
      <w:spacing w:after="120"/>
    </w:pPr>
  </w:style>
  <w:style w:type="paragraph" w:styleId="8">
    <w:name w:val="Body Text First Indent"/>
    <w:basedOn w:val="7"/>
    <w:next w:val="1"/>
    <w:qFormat/>
    <w:uiPriority w:val="0"/>
    <w:pPr>
      <w:ind w:firstLine="420" w:firstLineChars="100"/>
    </w:pPr>
  </w:style>
  <w:style w:type="paragraph" w:styleId="9">
    <w:name w:val="Body Text Indent"/>
    <w:basedOn w:val="1"/>
    <w:link w:val="35"/>
    <w:qFormat/>
    <w:uiPriority w:val="99"/>
    <w:pPr>
      <w:spacing w:after="120"/>
      <w:ind w:left="420" w:leftChars="200"/>
    </w:pPr>
  </w:style>
  <w:style w:type="paragraph" w:styleId="10">
    <w:name w:val="Block Text"/>
    <w:basedOn w:val="1"/>
    <w:qFormat/>
    <w:uiPriority w:val="0"/>
    <w:pPr>
      <w:adjustRightInd w:val="0"/>
      <w:snapToGrid w:val="0"/>
      <w:spacing w:line="360" w:lineRule="auto"/>
      <w:ind w:left="567" w:leftChars="270" w:right="-150" w:rightChars="-150" w:firstLine="480" w:firstLineChars="200"/>
    </w:pPr>
    <w:rPr>
      <w:rFonts w:ascii="宋体"/>
      <w:sz w:val="24"/>
      <w:szCs w:val="20"/>
    </w:r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99"/>
    <w:pPr>
      <w:ind w:left="2500" w:leftChars="2500"/>
    </w:pPr>
    <w:rPr>
      <w:rFonts w:ascii="Calibri" w:hAnsi="Calibri" w:eastAsia="楷体_GB2312"/>
      <w:sz w:val="32"/>
      <w:szCs w:val="22"/>
    </w:rPr>
  </w:style>
  <w:style w:type="paragraph" w:styleId="13">
    <w:name w:val="Balloon Text"/>
    <w:basedOn w:val="1"/>
    <w:link w:val="36"/>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footnote text"/>
    <w:basedOn w:val="1"/>
    <w:qFormat/>
    <w:uiPriority w:val="0"/>
    <w:pPr>
      <w:snapToGrid w:val="0"/>
      <w:jc w:val="left"/>
    </w:pPr>
    <w:rPr>
      <w:rFonts w:eastAsia="仿宋_GB2312"/>
      <w:sz w:val="18"/>
      <w:szCs w:val="20"/>
    </w:rPr>
  </w:style>
  <w:style w:type="paragraph" w:styleId="17">
    <w:name w:val="toc 2"/>
    <w:basedOn w:val="1"/>
    <w:next w:val="1"/>
    <w:qFormat/>
    <w:uiPriority w:val="0"/>
    <w:pPr>
      <w:tabs>
        <w:tab w:val="right" w:leader="dot" w:pos="10070"/>
      </w:tabs>
      <w:spacing w:line="480" w:lineRule="auto"/>
      <w:ind w:left="200" w:leftChars="200"/>
    </w:p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annotation subject"/>
    <w:basedOn w:val="6"/>
    <w:next w:val="6"/>
    <w:link w:val="61"/>
    <w:unhideWhenUsed/>
    <w:qFormat/>
    <w:uiPriority w:val="99"/>
    <w:rPr>
      <w:b/>
      <w:bCs/>
    </w:rPr>
  </w:style>
  <w:style w:type="paragraph" w:styleId="22">
    <w:name w:val="Body Text First Indent 2"/>
    <w:basedOn w:val="9"/>
    <w:qFormat/>
    <w:uiPriority w:val="0"/>
    <w:pPr>
      <w:ind w:firstLine="42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rFonts w:ascii="Tahoma" w:hAnsi="Tahoma" w:cs="Tahoma"/>
      <w:b/>
      <w:sz w:val="24"/>
    </w:rPr>
  </w:style>
  <w:style w:type="character" w:styleId="27">
    <w:name w:val="page number"/>
    <w:basedOn w:val="25"/>
    <w:qFormat/>
    <w:uiPriority w:val="0"/>
  </w:style>
  <w:style w:type="character" w:styleId="28">
    <w:name w:val="Hyperlink"/>
    <w:basedOn w:val="25"/>
    <w:unhideWhenUsed/>
    <w:qFormat/>
    <w:uiPriority w:val="0"/>
    <w:rPr>
      <w:color w:val="0000FF"/>
      <w:u w:val="single"/>
    </w:rPr>
  </w:style>
  <w:style w:type="character" w:styleId="29">
    <w:name w:val="annotation reference"/>
    <w:basedOn w:val="25"/>
    <w:qFormat/>
    <w:uiPriority w:val="0"/>
    <w:rPr>
      <w:sz w:val="21"/>
      <w:szCs w:val="21"/>
    </w:rPr>
  </w:style>
  <w:style w:type="character" w:styleId="30">
    <w:name w:val="footnote reference"/>
    <w:qFormat/>
    <w:uiPriority w:val="0"/>
    <w:rPr>
      <w:vertAlign w:val="superscript"/>
    </w:rPr>
  </w:style>
  <w:style w:type="paragraph" w:customStyle="1" w:styleId="31">
    <w:name w:val="[Normal]"/>
    <w:qFormat/>
    <w:uiPriority w:val="0"/>
    <w:rPr>
      <w:rFonts w:ascii="宋体" w:hAnsi="宋体" w:eastAsia="宋体" w:cs="Times New Roman"/>
      <w:sz w:val="24"/>
      <w:szCs w:val="22"/>
      <w:lang w:val="zh-CN" w:eastAsia="zh-CN" w:bidi="ar-SA"/>
    </w:rPr>
  </w:style>
  <w:style w:type="character" w:customStyle="1" w:styleId="32">
    <w:name w:val="页眉 字符"/>
    <w:basedOn w:val="25"/>
    <w:link w:val="15"/>
    <w:qFormat/>
    <w:uiPriority w:val="99"/>
    <w:rPr>
      <w:sz w:val="18"/>
      <w:szCs w:val="18"/>
    </w:rPr>
  </w:style>
  <w:style w:type="character" w:customStyle="1" w:styleId="33">
    <w:name w:val="页脚 字符"/>
    <w:basedOn w:val="25"/>
    <w:link w:val="14"/>
    <w:qFormat/>
    <w:uiPriority w:val="99"/>
    <w:rPr>
      <w:sz w:val="18"/>
      <w:szCs w:val="18"/>
    </w:rPr>
  </w:style>
  <w:style w:type="character" w:customStyle="1" w:styleId="34">
    <w:name w:val="正文文本 字符"/>
    <w:basedOn w:val="25"/>
    <w:link w:val="7"/>
    <w:semiHidden/>
    <w:qFormat/>
    <w:uiPriority w:val="99"/>
    <w:rPr>
      <w:rFonts w:ascii="Times New Roman" w:hAnsi="Times New Roman" w:eastAsia="宋体" w:cs="Times New Roman"/>
      <w:szCs w:val="24"/>
    </w:rPr>
  </w:style>
  <w:style w:type="character" w:customStyle="1" w:styleId="35">
    <w:name w:val="正文文本缩进 字符"/>
    <w:basedOn w:val="25"/>
    <w:link w:val="9"/>
    <w:qFormat/>
    <w:uiPriority w:val="99"/>
    <w:rPr>
      <w:rFonts w:ascii="Times New Roman" w:hAnsi="Times New Roman" w:eastAsia="宋体" w:cs="Times New Roman"/>
      <w:szCs w:val="24"/>
    </w:rPr>
  </w:style>
  <w:style w:type="character" w:customStyle="1" w:styleId="36">
    <w:name w:val="批注框文本 字符"/>
    <w:basedOn w:val="25"/>
    <w:link w:val="13"/>
    <w:semiHidden/>
    <w:qFormat/>
    <w:uiPriority w:val="99"/>
    <w:rPr>
      <w:rFonts w:ascii="Times New Roman" w:hAnsi="Times New Roman" w:eastAsia="宋体" w:cs="Times New Roman"/>
      <w:sz w:val="18"/>
      <w:szCs w:val="18"/>
    </w:rPr>
  </w:style>
  <w:style w:type="character" w:customStyle="1" w:styleId="37">
    <w:name w:val="无"/>
    <w:qFormat/>
    <w:uiPriority w:val="99"/>
  </w:style>
  <w:style w:type="paragraph" w:customStyle="1" w:styleId="38">
    <w:name w:val="表格文字"/>
    <w:basedOn w:val="1"/>
    <w:next w:val="7"/>
    <w:qFormat/>
    <w:uiPriority w:val="99"/>
    <w:pPr>
      <w:adjustRightInd w:val="0"/>
      <w:spacing w:line="420" w:lineRule="atLeast"/>
      <w:jc w:val="left"/>
      <w:textAlignment w:val="baseline"/>
    </w:pPr>
    <w:rPr>
      <w:kern w:val="0"/>
    </w:rPr>
  </w:style>
  <w:style w:type="paragraph" w:customStyle="1" w:styleId="39">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2">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99"/>
    <w:rPr>
      <w:rFonts w:ascii="Times New Roman" w:hAnsi="Times New Roman" w:eastAsia="宋体" w:cs="Times New Roman"/>
      <w:sz w:val="21"/>
      <w:szCs w:val="22"/>
      <w:lang w:val="en-US" w:eastAsia="zh-CN" w:bidi="ar-SA"/>
    </w:rPr>
  </w:style>
  <w:style w:type="paragraph" w:customStyle="1" w:styleId="44">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qFormat/>
    <w:uiPriority w:val="99"/>
    <w:pPr>
      <w:widowControl/>
      <w:jc w:val="left"/>
    </w:pPr>
    <w:rPr>
      <w:rFonts w:ascii="宋体" w:hAnsi="Courier New"/>
      <w:szCs w:val="21"/>
    </w:rPr>
  </w:style>
  <w:style w:type="paragraph" w:customStyle="1" w:styleId="48">
    <w:name w:val="纯文本_0_1"/>
    <w:basedOn w:val="1"/>
    <w:qFormat/>
    <w:uiPriority w:val="99"/>
    <w:pPr>
      <w:widowControl/>
      <w:jc w:val="left"/>
    </w:pPr>
    <w:rPr>
      <w:rFonts w:ascii="宋体" w:hAnsi="Courier New"/>
      <w:szCs w:val="21"/>
    </w:rPr>
  </w:style>
  <w:style w:type="paragraph" w:customStyle="1" w:styleId="49">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4">
    <w:name w:val="p0"/>
    <w:basedOn w:val="1"/>
    <w:qFormat/>
    <w:uiPriority w:val="0"/>
    <w:pPr>
      <w:widowControl/>
    </w:pPr>
    <w:rPr>
      <w:rFonts w:ascii="Calibri" w:hAnsi="Calibri" w:cs="宋体"/>
      <w:kern w:val="0"/>
      <w:szCs w:val="21"/>
    </w:rPr>
  </w:style>
  <w:style w:type="paragraph" w:customStyle="1" w:styleId="55">
    <w:name w:val="List Paragraph"/>
    <w:basedOn w:val="1"/>
    <w:qFormat/>
    <w:uiPriority w:val="0"/>
    <w:pPr>
      <w:ind w:firstLine="420" w:firstLineChars="200"/>
    </w:pPr>
  </w:style>
  <w:style w:type="paragraph" w:customStyle="1" w:styleId="56">
    <w:name w:val="纯文本1"/>
    <w:basedOn w:val="53"/>
    <w:qFormat/>
    <w:uiPriority w:val="0"/>
    <w:pPr>
      <w:widowControl/>
      <w:jc w:val="left"/>
    </w:pPr>
    <w:rPr>
      <w:rFonts w:hAnsi="Courier New"/>
    </w:rPr>
  </w:style>
  <w:style w:type="paragraph" w:customStyle="1" w:styleId="57">
    <w:name w:val="正文（首行缩进2字符）"/>
    <w:basedOn w:val="1"/>
    <w:qFormat/>
    <w:uiPriority w:val="0"/>
    <w:pPr>
      <w:ind w:firstLine="480" w:firstLineChars="200"/>
    </w:pPr>
    <w:rPr>
      <w:sz w:val="24"/>
      <w:szCs w:val="20"/>
    </w:rPr>
  </w:style>
  <w:style w:type="paragraph" w:customStyle="1" w:styleId="58">
    <w:name w:val="Table Paragraph"/>
    <w:basedOn w:val="1"/>
    <w:qFormat/>
    <w:uiPriority w:val="1"/>
    <w:rPr>
      <w:rFonts w:ascii="宋体" w:hAnsi="宋体" w:cs="宋体"/>
    </w:rPr>
  </w:style>
  <w:style w:type="paragraph" w:customStyle="1" w:styleId="59">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批注文字 字符"/>
    <w:basedOn w:val="25"/>
    <w:link w:val="6"/>
    <w:qFormat/>
    <w:uiPriority w:val="0"/>
    <w:rPr>
      <w:kern w:val="2"/>
      <w:sz w:val="21"/>
      <w:szCs w:val="24"/>
    </w:rPr>
  </w:style>
  <w:style w:type="character" w:customStyle="1" w:styleId="61">
    <w:name w:val="批注主题 字符"/>
    <w:basedOn w:val="60"/>
    <w:link w:val="21"/>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PAIG</Company>
  <Pages>43</Pages>
  <Words>1815</Words>
  <Characters>1869</Characters>
  <Lines>270</Lines>
  <Paragraphs>76</Paragraphs>
  <TotalTime>28</TotalTime>
  <ScaleCrop>false</ScaleCrop>
  <LinksUpToDate>false</LinksUpToDate>
  <CharactersWithSpaces>1917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WPS_鱼鱼鱼</cp:lastModifiedBy>
  <dcterms:modified xsi:type="dcterms:W3CDTF">2025-05-14T08:01:52Z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6F6BCDD60AD344BE86F9DB536AF588AC_13</vt:lpwstr>
  </property>
  <property fmtid="{D5CDD505-2E9C-101B-9397-08002B2CF9AE}" pid="4" name="commondata">
    <vt:lpwstr>eyJoZGlkIjoiNmNiNWQzMTIyZDkyNWQ5MzYxMmQ5MTE1ZmU3YjE0M2QifQ==</vt:lpwstr>
  </property>
  <property fmtid="{D5CDD505-2E9C-101B-9397-08002B2CF9AE}" pid="5" name="KSOTemplateDocerSaveRecord">
    <vt:lpwstr>eyJoZGlkIjoiNzU1M2VmMWU5NDAwYzJhNDk4MmYwN2RmNDIyMzc0OWUiLCJ1c2VySWQiOiIyMjY2Mzg4OTQifQ==</vt:lpwstr>
  </property>
</Properties>
</file>